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E04" w:rsidRDefault="00355E04" w:rsidP="00355E04">
      <w:pPr>
        <w:adjustRightInd w:val="0"/>
        <w:snapToGrid w:val="0"/>
        <w:spacing w:line="320" w:lineRule="exact"/>
        <w:ind w:firstLineChars="200" w:firstLine="643"/>
        <w:jc w:val="center"/>
        <w:rPr>
          <w:rFonts w:ascii="楷体_GB2312" w:eastAsia="楷体_GB2312" w:hAnsi="宋体" w:cs="宋体" w:hint="eastAsia"/>
          <w:b/>
          <w:color w:val="000000"/>
          <w:kern w:val="0"/>
          <w:sz w:val="32"/>
          <w:szCs w:val="32"/>
        </w:rPr>
      </w:pPr>
      <w:r>
        <w:rPr>
          <w:rFonts w:ascii="楷体_GB2312" w:eastAsia="楷体_GB2312" w:hAnsi="宋体" w:cs="宋体" w:hint="eastAsia"/>
          <w:b/>
          <w:color w:val="000000"/>
          <w:kern w:val="0"/>
          <w:sz w:val="32"/>
          <w:szCs w:val="32"/>
        </w:rPr>
        <w:t>药物分析学II（732007）实验教学大纲</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01.教学单位：</w:t>
      </w:r>
      <w:r>
        <w:rPr>
          <w:rFonts w:ascii="楷体_GB2312" w:eastAsia="楷体_GB2312" w:hAnsi="华文中宋" w:hint="eastAsia"/>
          <w:sz w:val="24"/>
        </w:rPr>
        <w:t>药学院</w:t>
      </w:r>
    </w:p>
    <w:p w:rsidR="00355E04" w:rsidRDefault="00355E04" w:rsidP="00355E04">
      <w:pPr>
        <w:adjustRightInd w:val="0"/>
        <w:snapToGrid w:val="0"/>
        <w:spacing w:line="320" w:lineRule="exact"/>
        <w:ind w:firstLineChars="200" w:firstLine="482"/>
        <w:rPr>
          <w:rFonts w:ascii="楷体_GB2312" w:eastAsia="楷体_GB2312" w:hAnsi="华文中宋"/>
          <w:sz w:val="24"/>
        </w:rPr>
      </w:pPr>
      <w:r>
        <w:rPr>
          <w:rFonts w:ascii="楷体_GB2312" w:eastAsia="楷体_GB2312" w:hAnsi="华文中宋" w:hint="eastAsia"/>
          <w:b/>
          <w:sz w:val="24"/>
        </w:rPr>
        <w:t>02.实验中心：</w:t>
      </w:r>
      <w:r>
        <w:rPr>
          <w:rFonts w:ascii="楷体_GB2312" w:eastAsia="楷体_GB2312" w:hAnsi="华文中宋" w:hint="eastAsia"/>
          <w:sz w:val="24"/>
        </w:rPr>
        <w:t>药学实验中心</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03.课程名称：</w:t>
      </w:r>
      <w:r>
        <w:rPr>
          <w:rFonts w:ascii="楷体_GB2312" w:eastAsia="楷体_GB2312" w:hAnsi="华文中宋" w:hint="eastAsia"/>
          <w:sz w:val="24"/>
        </w:rPr>
        <w:t>药物分析学</w:t>
      </w:r>
      <w:r>
        <w:rPr>
          <w:rFonts w:ascii="楷体_GB2312" w:eastAsia="楷体_GB2312" w:hAnsi="华文中宋"/>
          <w:sz w:val="24"/>
        </w:rPr>
        <w:t>II</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04.课程代码：</w:t>
      </w:r>
      <w:r>
        <w:rPr>
          <w:rFonts w:ascii="楷体_GB2312" w:eastAsia="楷体_GB2312" w:hAnsi="华文中宋" w:hint="eastAsia"/>
          <w:sz w:val="24"/>
        </w:rPr>
        <w:t>732007</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06.课程性质：</w:t>
      </w:r>
      <w:r>
        <w:rPr>
          <w:rFonts w:ascii="楷体_GB2312" w:eastAsia="楷体_GB2312" w:hAnsi="华文中宋" w:hint="eastAsia"/>
          <w:sz w:val="24"/>
        </w:rPr>
        <w:t>必修课</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07.课程学时：</w:t>
      </w:r>
      <w:r>
        <w:rPr>
          <w:rFonts w:ascii="楷体_GB2312" w:eastAsia="楷体_GB2312" w:hAnsi="华文中宋" w:hint="eastAsia"/>
          <w:sz w:val="24"/>
        </w:rPr>
        <w:t xml:space="preserve">86学时，其中含实验46学时       </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08.课程学分：</w:t>
      </w:r>
      <w:r>
        <w:rPr>
          <w:rFonts w:ascii="楷体_GB2312" w:eastAsia="楷体_GB2312" w:hAnsi="华文中宋" w:hint="eastAsia"/>
          <w:sz w:val="24"/>
        </w:rPr>
        <w:t xml:space="preserve">4学分 </w:t>
      </w:r>
    </w:p>
    <w:p w:rsidR="00355E04" w:rsidRDefault="00355E04" w:rsidP="00355E04">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09.面向专业：</w:t>
      </w:r>
      <w:r>
        <w:rPr>
          <w:rFonts w:ascii="楷体_GB2312" w:eastAsia="楷体_GB2312" w:hAnsi="华文中宋" w:hint="eastAsia"/>
          <w:sz w:val="24"/>
        </w:rPr>
        <w:t>药学专业（药学方向）</w:t>
      </w:r>
    </w:p>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药物分析是药学专业必修的专业课，药物分析实验是药物分析课程的重要组成部分，设置本实验课的目的是通过实验加深理解药物分析的基本理论和基本知识，培养学生树立强烈的药品质量观念，获得药品质量控制方法。掌握我国药典中收载的典型药物及制剂的鉴别、检查、含量测定方法,能够对药物的化学结构、理化性质与分析方法之间的关系进行综合分析，掌握常用检测技术、实验操作要领、结果计算和检验报告的书写等。</w:t>
      </w:r>
    </w:p>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355E04" w:rsidRDefault="00355E04" w:rsidP="00355E04">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(1)掌握药物的鉴别、检查、含量测定的常用方法；掌握常规容量分析和仪器分析技术,掌握杂质限量和药物含量的计算方法。</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(2)熟悉现代分析仪器的性能与规范的使用操作。</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(3)能运用本课程基本理论及有关专业知识分析和解决实践中的问题。</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(4)培养实事求是的科学态度和严谨认真的工作作风。</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(5)了解药物分析工作的程序及要求。</w:t>
      </w:r>
    </w:p>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针对药物分析教学任务及教学目的，具体开设了硫酸阿托品注射液含量测定、气相色谱法测定风油精中薄荷脑含量、青霉素V钾的含量测定、阿司匹林肠溶片的含量测定、氯霉素眼药水的高效液相色谱分析法等实验项目。</w:t>
      </w:r>
    </w:p>
    <w:p w:rsidR="00355E04" w:rsidRDefault="00355E04" w:rsidP="00355E04">
      <w:pPr>
        <w:adjustRightInd w:val="0"/>
        <w:snapToGrid w:val="0"/>
        <w:spacing w:line="320" w:lineRule="exact"/>
        <w:jc w:val="center"/>
        <w:rPr>
          <w:rFonts w:ascii="楷体" w:eastAsia="楷体" w:hAnsi="楷体" w:hint="eastAsia"/>
          <w:bCs/>
          <w:color w:val="000000"/>
          <w:kern w:val="44"/>
          <w:sz w:val="24"/>
        </w:rPr>
      </w:pPr>
      <w:r>
        <w:rPr>
          <w:rFonts w:ascii="楷体" w:eastAsia="楷体" w:hAnsi="楷体" w:hint="eastAsia"/>
          <w:bCs/>
          <w:color w:val="000000"/>
          <w:kern w:val="44"/>
          <w:sz w:val="24"/>
        </w:rPr>
        <w:t>开设实验项目一览表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160"/>
        <w:gridCol w:w="1081"/>
        <w:gridCol w:w="1081"/>
        <w:gridCol w:w="1082"/>
        <w:gridCol w:w="1081"/>
        <w:gridCol w:w="1082"/>
      </w:tblGrid>
      <w:tr w:rsidR="00355E04" w:rsidTr="0063328B">
        <w:tc>
          <w:tcPr>
            <w:tcW w:w="1080" w:type="dxa"/>
            <w:vAlign w:val="center"/>
          </w:tcPr>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实验项目</w:t>
            </w:r>
          </w:p>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编号</w:t>
            </w:r>
          </w:p>
        </w:tc>
        <w:tc>
          <w:tcPr>
            <w:tcW w:w="2160" w:type="dxa"/>
            <w:vAlign w:val="center"/>
          </w:tcPr>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实验项目</w:t>
            </w:r>
          </w:p>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名称</w:t>
            </w:r>
          </w:p>
        </w:tc>
        <w:tc>
          <w:tcPr>
            <w:tcW w:w="1081" w:type="dxa"/>
            <w:vAlign w:val="center"/>
          </w:tcPr>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实验类型</w:t>
            </w:r>
          </w:p>
        </w:tc>
        <w:tc>
          <w:tcPr>
            <w:tcW w:w="1081" w:type="dxa"/>
            <w:vAlign w:val="center"/>
          </w:tcPr>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实验性质</w:t>
            </w:r>
          </w:p>
        </w:tc>
        <w:tc>
          <w:tcPr>
            <w:tcW w:w="1082" w:type="dxa"/>
            <w:vAlign w:val="center"/>
          </w:tcPr>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实验学时</w:t>
            </w:r>
          </w:p>
        </w:tc>
        <w:tc>
          <w:tcPr>
            <w:tcW w:w="1081" w:type="dxa"/>
            <w:vAlign w:val="center"/>
          </w:tcPr>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每组人数</w:t>
            </w:r>
          </w:p>
        </w:tc>
        <w:tc>
          <w:tcPr>
            <w:tcW w:w="1082" w:type="dxa"/>
            <w:vAlign w:val="center"/>
          </w:tcPr>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首次开</w:t>
            </w:r>
          </w:p>
          <w:p w:rsidR="00355E04" w:rsidRDefault="00355E04" w:rsidP="0063328B">
            <w:pPr>
              <w:adjustRightInd w:val="0"/>
              <w:snapToGrid w:val="0"/>
              <w:spacing w:line="320" w:lineRule="exact"/>
              <w:jc w:val="center"/>
              <w:rPr>
                <w:rFonts w:ascii="仿宋" w:eastAsia="仿宋" w:hAnsi="仿宋" w:hint="eastAsia"/>
              </w:rPr>
            </w:pPr>
            <w:r>
              <w:rPr>
                <w:rFonts w:ascii="仿宋" w:eastAsia="仿宋" w:hAnsi="仿宋" w:hint="eastAsia"/>
              </w:rPr>
              <w:t>出年月</w:t>
            </w:r>
          </w:p>
        </w:tc>
      </w:tr>
      <w:tr w:rsidR="00355E04" w:rsidTr="0063328B">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73200701</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气相色谱法测定风油精中薄荷脑含量</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综合性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必做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8</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200509</w:t>
            </w:r>
          </w:p>
        </w:tc>
      </w:tr>
      <w:tr w:rsidR="00355E04" w:rsidTr="0063328B">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73200702</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磺酸嘧啶钠的含量</w:t>
            </w:r>
          </w:p>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测定</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验证性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必做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6</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201409</w:t>
            </w:r>
          </w:p>
        </w:tc>
      </w:tr>
      <w:tr w:rsidR="00355E04" w:rsidTr="0063328B">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73200703</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氯霉素眼药水的高效液相色谱分析法</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综合性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必做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8</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200809</w:t>
            </w:r>
          </w:p>
        </w:tc>
      </w:tr>
      <w:tr w:rsidR="00355E04" w:rsidTr="0063328B">
        <w:trPr>
          <w:trHeight w:val="646"/>
        </w:trPr>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73200704</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维生素A软胶囊的含量测定</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验证性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必做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6</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201409</w:t>
            </w:r>
          </w:p>
        </w:tc>
      </w:tr>
      <w:tr w:rsidR="00355E04" w:rsidTr="0063328B">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73200705</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几种药物红外光谱的识别</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综合性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必做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6</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201409</w:t>
            </w:r>
          </w:p>
        </w:tc>
      </w:tr>
      <w:tr w:rsidR="00355E04" w:rsidTr="0063328B">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73200706</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诺氟沙星胶囊的含量测定设计及实践</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设计性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必做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12</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201409</w:t>
            </w:r>
          </w:p>
        </w:tc>
      </w:tr>
      <w:tr w:rsidR="00355E04" w:rsidTr="0063328B">
        <w:trPr>
          <w:trHeight w:val="646"/>
        </w:trPr>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lastRenderedPageBreak/>
              <w:t>73200707</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硫酸阿托品注射液的含量测定</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验证性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选做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6</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201209</w:t>
            </w:r>
          </w:p>
        </w:tc>
      </w:tr>
      <w:tr w:rsidR="00355E04" w:rsidTr="0063328B">
        <w:trPr>
          <w:trHeight w:val="408"/>
        </w:trPr>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73200708</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青霉素V钾含量测定</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验证性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选做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8</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200109</w:t>
            </w:r>
          </w:p>
        </w:tc>
      </w:tr>
      <w:tr w:rsidR="00355E04" w:rsidTr="0063328B">
        <w:trPr>
          <w:trHeight w:val="646"/>
        </w:trPr>
        <w:tc>
          <w:tcPr>
            <w:tcW w:w="108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73200709</w:t>
            </w:r>
          </w:p>
        </w:tc>
        <w:tc>
          <w:tcPr>
            <w:tcW w:w="2160"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阿司匹林肠溶片的含量测定</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综合性</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选做</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8</w:t>
            </w:r>
          </w:p>
        </w:tc>
        <w:tc>
          <w:tcPr>
            <w:tcW w:w="1081"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82" w:type="dxa"/>
            <w:vAlign w:val="center"/>
          </w:tcPr>
          <w:p w:rsidR="00355E04" w:rsidRDefault="00355E04" w:rsidP="0063328B">
            <w:pPr>
              <w:adjustRightInd w:val="0"/>
              <w:snapToGrid w:val="0"/>
              <w:spacing w:line="320" w:lineRule="exact"/>
              <w:rPr>
                <w:rFonts w:ascii="仿宋" w:eastAsia="仿宋" w:hAnsi="仿宋" w:hint="eastAsia"/>
              </w:rPr>
            </w:pPr>
            <w:r>
              <w:rPr>
                <w:rFonts w:ascii="仿宋" w:eastAsia="仿宋" w:hAnsi="仿宋" w:hint="eastAsia"/>
              </w:rPr>
              <w:t>200609</w:t>
            </w:r>
          </w:p>
        </w:tc>
      </w:tr>
    </w:tbl>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实验教材：</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(1)张沐新，赵春芳，孙严彤，</w:t>
      </w:r>
      <w:r>
        <w:rPr>
          <w:rFonts w:ascii="楷体_GB2312" w:eastAsia="楷体_GB2312" w:hAnsi="华文中宋"/>
          <w:sz w:val="24"/>
        </w:rPr>
        <w:t>药物分析实验</w:t>
      </w:r>
      <w:r>
        <w:rPr>
          <w:rFonts w:ascii="楷体_GB2312" w:eastAsia="楷体_GB2312" w:hAnsi="华文中宋" w:hint="eastAsia"/>
          <w:sz w:val="24"/>
        </w:rPr>
        <w:t>讲义，自编，2014。</w:t>
      </w:r>
    </w:p>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主要参考资料：</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w:t>
      </w:r>
      <w:r>
        <w:rPr>
          <w:rFonts w:ascii="楷体_GB2312" w:eastAsia="楷体_GB2312" w:hAnsi="华文中宋"/>
          <w:sz w:val="24"/>
        </w:rPr>
        <w:t>国家药典委员会编</w:t>
      </w:r>
      <w:r>
        <w:rPr>
          <w:rFonts w:ascii="楷体_GB2312" w:eastAsia="楷体_GB2312" w:hAnsi="华文中宋" w:hint="eastAsia"/>
          <w:sz w:val="24"/>
        </w:rPr>
        <w:t>.</w:t>
      </w:r>
      <w:r>
        <w:rPr>
          <w:rFonts w:ascii="楷体_GB2312" w:eastAsia="楷体_GB2312" w:hAnsi="华文中宋"/>
          <w:sz w:val="24"/>
        </w:rPr>
        <w:t>中华人民共和国药典</w:t>
      </w:r>
      <w:r>
        <w:rPr>
          <w:rFonts w:ascii="楷体_GB2312" w:eastAsia="楷体_GB2312" w:hAnsi="华文中宋" w:hint="eastAsia"/>
          <w:sz w:val="24"/>
        </w:rPr>
        <w:t>.北京：</w:t>
      </w:r>
      <w:r>
        <w:rPr>
          <w:rFonts w:ascii="楷体_GB2312" w:eastAsia="楷体_GB2312" w:hAnsi="华文中宋"/>
          <w:sz w:val="24"/>
        </w:rPr>
        <w:t>化学工业出版社</w:t>
      </w:r>
      <w:r>
        <w:rPr>
          <w:rFonts w:ascii="楷体_GB2312" w:eastAsia="楷体_GB2312" w:hAnsi="华文中宋" w:hint="eastAsia"/>
          <w:sz w:val="24"/>
        </w:rPr>
        <w:t>.</w:t>
      </w:r>
      <w:r>
        <w:rPr>
          <w:rFonts w:ascii="楷体_GB2312" w:eastAsia="楷体_GB2312" w:hAnsi="华文中宋"/>
          <w:sz w:val="24"/>
        </w:rPr>
        <w:t xml:space="preserve"> 20</w:t>
      </w:r>
      <w:r>
        <w:rPr>
          <w:rFonts w:ascii="楷体_GB2312" w:eastAsia="楷体_GB2312" w:hAnsi="华文中宋" w:hint="eastAsia"/>
          <w:sz w:val="24"/>
        </w:rPr>
        <w:t>10</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(2)杭太俊主编. 药物分析（第7版）.北京:人民卫生出版社.2011.</w:t>
      </w:r>
    </w:p>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学生的实验态度、实验操作、实验结果和实验报告四项为实验成绩评分的考核标准，考核成绩占《药物分析学Ⅱ》总成绩的</w:t>
      </w:r>
      <w:r>
        <w:rPr>
          <w:rFonts w:ascii="楷体_GB2312" w:eastAsia="楷体_GB2312" w:hAnsi="华文中宋"/>
          <w:sz w:val="24"/>
        </w:rPr>
        <w:t>30</w:t>
      </w:r>
      <w:r>
        <w:rPr>
          <w:rFonts w:ascii="楷体_GB2312" w:eastAsia="楷体_GB2312" w:hAnsi="华文中宋" w:hint="eastAsia"/>
          <w:sz w:val="24"/>
        </w:rPr>
        <w:t>％。</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实验课成绩共30分，学时为46学时。即6学时实验的考核分数为4分，8学时实验的考核分数为5分，12学时实验的考核分数为8分。</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实验态度：认真参加实验教学，遵守课堂纪律，不迟到不早退。遵守实验室规章制度。实验态度占该实验课成绩的比例为10%。</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实验操作：认真做好课前预习。严格遵守仪器及实验操作流程，如实记录实验数据，认真观察和分析实验现象。实验结束后将实验用品、仪器设备等整理复位。实验操作占该实验课成绩的比例为50%。</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实验结果：独立分析实验结果，严禁抄袭和伪造实验数据。实验结果占实验课成绩的比例为10%。</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实验报告：认真撰写实验报告，并按规定的时间和要求提交。实验报告中图表清晰、字迹工整、原始数据齐全、数据处理准确、讨论和分析问题简明扼要、表达清楚。实验报告占该实验课成绩的比例为30%。</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缺交实验报告达五分之一，或缺做实验时数达五分之一，为实验成绩不及格。</w:t>
      </w:r>
      <w:r>
        <w:rPr>
          <w:rFonts w:ascii="楷体_GB2312" w:eastAsia="楷体_GB2312" w:hAnsi="华文中宋" w:hint="eastAsia"/>
          <w:sz w:val="24"/>
        </w:rPr>
        <w:tab/>
        <w:t xml:space="preserve"> 备注：精密仪器室等的管理与日常维护实验技术员学时20学时。</w:t>
      </w:r>
    </w:p>
    <w:p w:rsidR="00355E04" w:rsidRDefault="00355E04" w:rsidP="00355E04">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15.执笔人</w:t>
      </w:r>
    </w:p>
    <w:p w:rsidR="00355E04" w:rsidRDefault="00355E04" w:rsidP="00355E04">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执笔人赵春芳副教授，参与编写人员有刘忠英教授、赵春芳副教授、胡秀丽副教授、孙严彤讲师和张沐新讲师。</w:t>
      </w:r>
    </w:p>
    <w:p w:rsidR="00355E04" w:rsidRDefault="00355E04" w:rsidP="00355E04">
      <w:pPr>
        <w:adjustRightInd w:val="0"/>
        <w:snapToGrid w:val="0"/>
        <w:spacing w:line="320" w:lineRule="exact"/>
        <w:ind w:firstLine="480"/>
        <w:rPr>
          <w:rFonts w:ascii="楷体_GB2312" w:eastAsia="楷体_GB2312" w:hAnsi="华文中宋"/>
          <w:b/>
          <w:sz w:val="24"/>
        </w:rPr>
      </w:pPr>
      <w:r>
        <w:rPr>
          <w:rFonts w:ascii="楷体_GB2312" w:eastAsia="楷体_GB2312" w:hAnsi="华文中宋" w:hint="eastAsia"/>
          <w:b/>
          <w:sz w:val="24"/>
        </w:rPr>
        <w:t>16.制定日期</w:t>
      </w:r>
    </w:p>
    <w:p w:rsidR="00355E04" w:rsidRDefault="00355E04" w:rsidP="00355E04">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20131022</w:t>
      </w:r>
    </w:p>
    <w:p w:rsidR="00355E04" w:rsidRDefault="00355E04" w:rsidP="00355E04">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17.审核人</w:t>
      </w:r>
    </w:p>
    <w:p w:rsidR="00355E04" w:rsidRDefault="00355E04" w:rsidP="00355E04">
      <w:pPr>
        <w:adjustRightInd w:val="0"/>
        <w:snapToGrid w:val="0"/>
        <w:spacing w:line="320" w:lineRule="exact"/>
        <w:ind w:firstLine="480"/>
        <w:rPr>
          <w:rFonts w:ascii="楷体_GB2312" w:eastAsia="楷体_GB2312" w:hAnsi="华文中宋"/>
          <w:sz w:val="24"/>
        </w:rPr>
      </w:pPr>
      <w:r>
        <w:rPr>
          <w:rFonts w:ascii="楷体_GB2312" w:eastAsia="楷体_GB2312" w:hAnsi="华文中宋" w:hint="eastAsia"/>
          <w:sz w:val="24"/>
        </w:rPr>
        <w:t>刘忠英教授</w:t>
      </w:r>
    </w:p>
    <w:p w:rsidR="00355E04" w:rsidRDefault="00355E04" w:rsidP="00355E04">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18.审核日期</w:t>
      </w:r>
    </w:p>
    <w:p w:rsidR="00355E04" w:rsidRDefault="00355E04" w:rsidP="00355E04">
      <w:pPr>
        <w:adjustRightInd w:val="0"/>
        <w:snapToGrid w:val="0"/>
        <w:spacing w:line="320" w:lineRule="exact"/>
        <w:ind w:firstLineChars="200" w:firstLine="480"/>
        <w:rPr>
          <w:rFonts w:ascii="楷体_GB2312" w:eastAsia="楷体_GB2312" w:hAnsi="华文中宋"/>
          <w:sz w:val="24"/>
        </w:rPr>
      </w:pPr>
      <w:r>
        <w:rPr>
          <w:rFonts w:ascii="楷体_GB2312" w:eastAsia="楷体_GB2312" w:hAnsi="华文中宋" w:hint="eastAsia"/>
          <w:sz w:val="24"/>
        </w:rPr>
        <w:t>20131027</w:t>
      </w:r>
    </w:p>
    <w:p w:rsidR="00355E04" w:rsidRDefault="00355E04" w:rsidP="00355E04">
      <w:pPr>
        <w:adjustRightInd w:val="0"/>
        <w:snapToGrid w:val="0"/>
        <w:spacing w:line="320" w:lineRule="exact"/>
        <w:ind w:firstLineChars="200" w:firstLine="482"/>
        <w:rPr>
          <w:rFonts w:ascii="楷体_GB2312" w:eastAsia="楷体_GB2312" w:hAnsi="华文中宋"/>
          <w:b/>
          <w:sz w:val="24"/>
        </w:rPr>
      </w:pPr>
      <w:r>
        <w:rPr>
          <w:rFonts w:ascii="楷体_GB2312" w:eastAsia="楷体_GB2312" w:hAnsi="华文中宋" w:hint="eastAsia"/>
          <w:b/>
          <w:sz w:val="24"/>
        </w:rPr>
        <w:t>19.学院审定程序说明</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355E04" w:rsidRDefault="00355E04" w:rsidP="00355E04">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20.学院审定日期</w:t>
      </w:r>
    </w:p>
    <w:p w:rsidR="00355E04" w:rsidRDefault="00355E04" w:rsidP="00355E04">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355E04" w:rsidRDefault="00355E04" w:rsidP="00355E04">
      <w:pPr>
        <w:spacing w:line="400" w:lineRule="exact"/>
        <w:jc w:val="center"/>
        <w:rPr>
          <w:rFonts w:ascii="楷体" w:eastAsia="楷体" w:hAnsi="楷体" w:hint="eastAsia"/>
          <w:bCs/>
          <w:color w:val="000000"/>
          <w:kern w:val="44"/>
          <w:sz w:val="24"/>
        </w:rPr>
      </w:pPr>
    </w:p>
    <w:p w:rsidR="00355E04" w:rsidRDefault="00355E04" w:rsidP="00355E04">
      <w:pPr>
        <w:autoSpaceDE w:val="0"/>
        <w:autoSpaceDN w:val="0"/>
        <w:adjustRightInd w:val="0"/>
        <w:snapToGrid w:val="0"/>
        <w:jc w:val="center"/>
        <w:rPr>
          <w:rFonts w:ascii="宋体" w:hAnsi="宋体"/>
          <w:sz w:val="32"/>
          <w:szCs w:val="32"/>
        </w:rPr>
      </w:pPr>
      <w:r>
        <w:rPr>
          <w:rFonts w:ascii="宋体" w:hAnsi="宋体" w:hint="eastAsia"/>
          <w:b/>
          <w:sz w:val="32"/>
          <w:szCs w:val="32"/>
        </w:rPr>
        <w:t>药物分析学Ⅱ(732007)实验项目卡1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8"/>
        <w:gridCol w:w="1822"/>
        <w:gridCol w:w="6266"/>
      </w:tblGrid>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No</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仿宋_GB2312" w:eastAsia="仿宋_GB2312" w:hAnsi="宋体" w:cs="宋体"/>
                <w:b/>
                <w:kern w:val="0"/>
                <w:szCs w:val="21"/>
              </w:rPr>
            </w:pPr>
            <w:r>
              <w:rPr>
                <w:rFonts w:ascii="仿宋_GB2312" w:eastAsia="仿宋_GB2312" w:hAnsi="宋体" w:cs="宋体" w:hint="eastAsia"/>
                <w:b/>
                <w:kern w:val="0"/>
                <w:szCs w:val="21"/>
              </w:rPr>
              <w:t>填写内容</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66"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3</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66"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ind w:leftChars="18" w:left="38"/>
              <w:rPr>
                <w:rFonts w:ascii="楷体" w:eastAsia="楷体" w:hAnsi="楷体" w:cs="宋体"/>
                <w:color w:val="000000"/>
                <w:kern w:val="0"/>
                <w:sz w:val="24"/>
              </w:rPr>
            </w:pPr>
            <w:r>
              <w:rPr>
                <w:rFonts w:ascii="楷体" w:eastAsia="楷体" w:hAnsi="楷体" w:cs="宋体" w:hint="eastAsia"/>
                <w:color w:val="000000"/>
                <w:kern w:val="0"/>
                <w:sz w:val="24"/>
              </w:rPr>
              <w:t>气相色谱法测定风油精中薄荷脑含量</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4</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73200701</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5</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6</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7</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8学时</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8</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必做</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9</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学习气相色谱法FID的工作原理及操作过程，掌握程序升温的测定步骤，掌握内标法的定量分析方法。</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10</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气相色谱仪的正确操作步骤，进行对照品溶液及样品溶液的制备并测定样品及内标法计算含量。</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11</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气相色谱法中多种组分的混合物在高温下气化，采用程序升温，经柱层析后，按其沸点的不同及极性差异，依次流出色谱柱进入检测器，根据保留时间及信号强度进行定性和定量分析。风油精中薄荷脑在气相色谱仪中可以得到分离并测定。</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12</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13</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实验者层次</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14</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气相色谱仪（岛津），电子天平（0.1mg），恒温干燥箱，电脑，打印机，超纯水器，空气压缩机，气流烘干器，适应毛细管柱，切纸刀，毛细管色谱柱（弱极性）。</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15</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djustRightInd w:val="0"/>
              <w:snapToGrid w:val="0"/>
              <w:ind w:left="-90"/>
              <w:rPr>
                <w:rFonts w:ascii="楷体" w:eastAsia="楷体" w:hAnsi="楷体" w:cs="宋体"/>
                <w:color w:val="000000"/>
                <w:kern w:val="0"/>
                <w:sz w:val="24"/>
              </w:rPr>
            </w:pPr>
            <w:r>
              <w:rPr>
                <w:rFonts w:ascii="楷体" w:eastAsia="楷体" w:hAnsi="楷体" w:cs="宋体" w:hint="eastAsia"/>
                <w:color w:val="000000"/>
                <w:kern w:val="0"/>
                <w:sz w:val="24"/>
              </w:rPr>
              <w:t xml:space="preserve"> 1套</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16</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200509</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17</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教学单位名称</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18</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19</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20</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实验中心编号</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21</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药物分析室，气相色谱室</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22</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药学院410+511</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23</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风油精5个，薄荷脑10g，环己酮50ml，无水乙醇150ml，打印纸0.02本， 氮气0.1瓶，氢气0.1瓶等</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24</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91.55元</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25</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26</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实验项目卡制定人</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27</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实验项目卡审核人</w:t>
            </w:r>
          </w:p>
        </w:tc>
        <w:tc>
          <w:tcPr>
            <w:tcW w:w="6266"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rPr>
          <w:rFonts w:hint="eastAsia"/>
        </w:rPr>
      </w:pPr>
    </w:p>
    <w:p w:rsidR="00355E04" w:rsidRDefault="00355E04" w:rsidP="00355E04">
      <w:pPr>
        <w:autoSpaceDE w:val="0"/>
        <w:autoSpaceDN w:val="0"/>
        <w:adjustRightInd w:val="0"/>
        <w:snapToGrid w:val="0"/>
        <w:jc w:val="center"/>
        <w:rPr>
          <w:rFonts w:ascii="宋体" w:hAnsi="宋体"/>
          <w:sz w:val="32"/>
          <w:szCs w:val="32"/>
        </w:rPr>
      </w:pPr>
      <w:r>
        <w:br w:type="page"/>
      </w:r>
      <w:r>
        <w:rPr>
          <w:rFonts w:ascii="宋体" w:hAnsi="宋体" w:hint="eastAsia"/>
          <w:b/>
          <w:sz w:val="32"/>
          <w:szCs w:val="32"/>
        </w:rPr>
        <w:lastRenderedPageBreak/>
        <w:t>药物分析学Ⅱ(732007)实验项目卡2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73200702</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ind w:leftChars="18" w:left="38"/>
              <w:rPr>
                <w:rFonts w:ascii="楷体" w:eastAsia="楷体" w:hAnsi="楷体" w:cs="宋体"/>
                <w:color w:val="000000"/>
                <w:kern w:val="0"/>
                <w:sz w:val="24"/>
              </w:rPr>
            </w:pPr>
            <w:r>
              <w:rPr>
                <w:rFonts w:ascii="楷体" w:eastAsia="楷体" w:hAnsi="楷体" w:cs="宋体" w:hint="eastAsia"/>
                <w:color w:val="000000"/>
                <w:kern w:val="0"/>
                <w:sz w:val="24"/>
              </w:rPr>
              <w:t>磺胺嘧啶钠注射液的含量测定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73200702</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6学时</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必做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djustRightInd w:val="0"/>
              <w:snapToGrid w:val="0"/>
              <w:spacing w:line="320" w:lineRule="exact"/>
              <w:rPr>
                <w:rFonts w:ascii="楷体" w:eastAsia="楷体" w:hAnsi="楷体" w:cs="宋体"/>
                <w:color w:val="000000"/>
                <w:kern w:val="0"/>
                <w:sz w:val="24"/>
              </w:rPr>
            </w:pPr>
            <w:r>
              <w:rPr>
                <w:rFonts w:ascii="楷体" w:eastAsia="楷体" w:hAnsi="楷体" w:cs="宋体" w:hint="eastAsia"/>
                <w:color w:val="000000"/>
                <w:kern w:val="0"/>
                <w:sz w:val="24"/>
              </w:rPr>
              <w:t>1.掌握永停滴定法的原理及操作。</w:t>
            </w:r>
          </w:p>
          <w:p w:rsidR="00355E04" w:rsidRDefault="00355E04" w:rsidP="0063328B">
            <w:pPr>
              <w:adjustRightInd w:val="0"/>
              <w:snapToGrid w:val="0"/>
              <w:spacing w:line="320" w:lineRule="exact"/>
              <w:rPr>
                <w:rFonts w:ascii="楷体" w:eastAsia="楷体" w:hAnsi="楷体" w:cs="宋体"/>
                <w:color w:val="000000"/>
                <w:kern w:val="0"/>
                <w:sz w:val="24"/>
              </w:rPr>
            </w:pPr>
            <w:r>
              <w:rPr>
                <w:rFonts w:ascii="楷体" w:eastAsia="楷体" w:hAnsi="楷体" w:cs="宋体" w:hint="eastAsia"/>
                <w:color w:val="000000"/>
                <w:kern w:val="0"/>
                <w:sz w:val="24"/>
              </w:rPr>
              <w:t>2.比较重氮化滴定法的三种指示终点方法的灵敏度。</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1.永停滴定法测定含量。2.外指示剂法测定含量。3.内指示剂法测定含量。</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djustRightInd w:val="0"/>
              <w:snapToGrid w:val="0"/>
              <w:spacing w:line="320" w:lineRule="exact"/>
              <w:rPr>
                <w:rFonts w:ascii="楷体" w:eastAsia="楷体" w:hAnsi="楷体" w:cs="宋体"/>
                <w:color w:val="000000"/>
                <w:kern w:val="0"/>
                <w:sz w:val="24"/>
              </w:rPr>
            </w:pPr>
            <w:r>
              <w:rPr>
                <w:rFonts w:ascii="楷体" w:eastAsia="楷体" w:hAnsi="楷体" w:cs="宋体" w:hint="eastAsia"/>
                <w:color w:val="000000"/>
                <w:kern w:val="0"/>
                <w:sz w:val="24"/>
              </w:rPr>
              <w:t>磺胺嘧啶钠分子结构中具有芳伯胺基，在酸性条件下与亚硝酸钠定量反应生成重氮化合物，采用永停滴定法测定含量。</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1.演示性□；2.验证性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；3.综合性□；4.设计性□；5.研究性□。</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电子天平（0.01mg，0.1mg），恒温水浴锅，恒温干燥箱，气流烘干器，自动永停滴定仪，蒸馏水器，切纸刀</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djustRightInd w:val="0"/>
              <w:snapToGrid w:val="0"/>
              <w:ind w:left="-90"/>
              <w:rPr>
                <w:rFonts w:ascii="楷体" w:eastAsia="楷体" w:hAnsi="楷体" w:cs="宋体"/>
                <w:color w:val="000000"/>
                <w:kern w:val="0"/>
                <w:sz w:val="24"/>
              </w:rPr>
            </w:pPr>
            <w:r>
              <w:rPr>
                <w:rFonts w:ascii="楷体" w:eastAsia="楷体" w:hAnsi="楷体" w:cs="宋体" w:hint="eastAsia"/>
                <w:color w:val="000000"/>
                <w:kern w:val="0"/>
                <w:sz w:val="24"/>
              </w:rPr>
              <w:t xml:space="preserve"> 0套</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201409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药物分析室</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药学院410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ind w:firstLineChars="50" w:firstLine="120"/>
              <w:rPr>
                <w:rFonts w:ascii="楷体" w:eastAsia="楷体" w:hAnsi="楷体" w:cs="宋体"/>
                <w:color w:val="000000"/>
                <w:kern w:val="0"/>
                <w:sz w:val="24"/>
              </w:rPr>
            </w:pPr>
            <w:r>
              <w:rPr>
                <w:rFonts w:ascii="楷体" w:eastAsia="楷体" w:hAnsi="楷体" w:cs="宋体" w:hint="eastAsia"/>
                <w:color w:val="000000"/>
                <w:kern w:val="0"/>
                <w:sz w:val="24"/>
              </w:rPr>
              <w:t xml:space="preserve">磺胺嘧啶钠注射液10ml、溴化钾10g、盐酸20ml、亚硝酸钠20g、可溶性淀粉10g、蒸馏水500ml等 </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185元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rPr>
          <w:rFonts w:hint="eastAsia"/>
        </w:rPr>
      </w:pPr>
    </w:p>
    <w:p w:rsidR="00355E04" w:rsidRDefault="00355E04" w:rsidP="00355E04">
      <w:pPr>
        <w:autoSpaceDE w:val="0"/>
        <w:autoSpaceDN w:val="0"/>
        <w:adjustRightInd w:val="0"/>
        <w:snapToGrid w:val="0"/>
        <w:jc w:val="center"/>
        <w:rPr>
          <w:rFonts w:ascii="宋体" w:hAnsi="宋体"/>
          <w:sz w:val="32"/>
          <w:szCs w:val="32"/>
        </w:rPr>
      </w:pPr>
      <w:r>
        <w:rPr>
          <w:rFonts w:ascii="宋体" w:hAnsi="宋体" w:hint="eastAsia"/>
          <w:b/>
          <w:sz w:val="32"/>
          <w:szCs w:val="32"/>
        </w:rPr>
        <w:br w:type="page"/>
      </w:r>
      <w:r>
        <w:rPr>
          <w:rFonts w:ascii="宋体" w:hAnsi="宋体" w:hint="eastAsia"/>
          <w:b/>
          <w:sz w:val="32"/>
          <w:szCs w:val="32"/>
        </w:rPr>
        <w:lastRenderedPageBreak/>
        <w:t>药物分析学Ⅱ(732007)实验项目卡3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氯霉素滴眼液的高效液相色谱分析法</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73200703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8学时</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必做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掌握外标法测定组分含量，掌握高效液相色谱仪的结构及正确使用。</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高效液相色谱仪的操作，标准储备液及标准曲线的制备，样品测定及外标法计算含量。</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外标法又称校正法或定量进样法。本法要求能准确地定量地进样。配制一系列已知浓度的标准液，在同一操作条件下，按同量注入色谱仪，测量其峰面积(或峰高)，作峰面积(或峰高)与浓度的标准曲线。然后在相同条件下，注入同量样品溶液，测量待测组分的峰面积(或峰高)，根据标准曲线，计算样品中待测组分的浓度。</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高效液相色谱仪（岛津），电子天平（0.1mg），恒温干燥箱，超纯水器，电冰箱，超声波提取器，恒温水浴，色谱柱，真空水泵，溶剂过滤器，C18反相色谱柱等。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4套</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200809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药物分析室，精密仪器室</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药学院410+510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一次性滤器6个，过滤器1套，色谱甲醇200ml，打印纸0.1本，氯霉素眼药水5瓶，氯霉素标准品0.1g，胶头滴管2个,超纯水500ml等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294.00元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autoSpaceDE w:val="0"/>
        <w:autoSpaceDN w:val="0"/>
        <w:adjustRightInd w:val="0"/>
        <w:snapToGrid w:val="0"/>
        <w:jc w:val="center"/>
        <w:rPr>
          <w:rFonts w:ascii="宋体" w:hAnsi="宋体" w:hint="eastAsia"/>
          <w:sz w:val="32"/>
          <w:szCs w:val="32"/>
        </w:rPr>
      </w:pPr>
      <w:r>
        <w:rPr>
          <w:rFonts w:ascii="宋体" w:hAnsi="宋体" w:hint="eastAsia"/>
          <w:b/>
          <w:sz w:val="32"/>
          <w:szCs w:val="32"/>
        </w:rPr>
        <w:br w:type="page"/>
      </w:r>
      <w:r>
        <w:rPr>
          <w:rFonts w:ascii="宋体" w:hAnsi="宋体" w:hint="eastAsia"/>
          <w:b/>
          <w:sz w:val="32"/>
          <w:szCs w:val="32"/>
        </w:rPr>
        <w:lastRenderedPageBreak/>
        <w:t>药物分析学Ⅱ(732007)实验项目卡4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维生素A软胶囊的含量测定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73200704</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6学时</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必做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1.紫外分光光度法测定VA含量的基本原理及校正公式的应用。2.学习和掌握胶丸制剂分析的基本操作。</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软胶囊内容物平均重量的测定、供试品溶液的制备与测定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本品除含有全反式维生素A醋酸酯外，尚含有少量对测定有影响的杂质，它们各具不同的光谱特征和生物效价。由于物质对光的吸收具有加和性，采用三点校正法可以消除这些杂质的干扰。</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1.演示性□；2.验证性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；3.综合性□；4.设计性□；5.研究性□。</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电子天平（0.01mg，0.1mg），紫外分光光度计，恒温干燥箱，气流烘干器，通风橱，切纸刀，石英比色皿等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4套</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201409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药物分析室，精密仪器室</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药学院410+510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维生素A软胶囊30粒、异丙醇100ml、一次性注射器4、乙醚100ml、变色硅胶100g等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105元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autoSpaceDE w:val="0"/>
        <w:autoSpaceDN w:val="0"/>
        <w:adjustRightInd w:val="0"/>
        <w:snapToGrid w:val="0"/>
        <w:jc w:val="center"/>
        <w:rPr>
          <w:rFonts w:ascii="宋体" w:hAnsi="宋体" w:hint="eastAsia"/>
          <w:sz w:val="32"/>
          <w:szCs w:val="32"/>
        </w:rPr>
      </w:pPr>
      <w:r>
        <w:rPr>
          <w:rFonts w:ascii="宋体" w:hAnsi="宋体" w:hint="eastAsia"/>
          <w:b/>
          <w:sz w:val="32"/>
          <w:szCs w:val="32"/>
        </w:rPr>
        <w:br w:type="page"/>
      </w:r>
      <w:r>
        <w:rPr>
          <w:rFonts w:ascii="宋体" w:hAnsi="宋体" w:hint="eastAsia"/>
          <w:b/>
          <w:sz w:val="32"/>
          <w:szCs w:val="32"/>
        </w:rPr>
        <w:lastRenderedPageBreak/>
        <w:t>药物分析学Ⅱ(732007)实验项目卡5</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几种药物红外光谱的识别</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73200705</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6学时</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必做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掌握用图谱直接对照法和谱线检索表比较法识别几种药物的红外光吸收图谱。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1.药物红外光谱图的绘制。</w:t>
            </w:r>
          </w:p>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2.药物红外光谱图的识别。</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分子吸收红外光后，振动能增加。不同化合物中的同种基团，振动频率一般比较接近。在红外光谱图中同种基团吸收峰的位置大致相同，可以利用基团特征吸收峰的位置、强度等对化合物进行鉴别。同种化合物的红外吸收光图谱基本相同。</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红外分光光度计，玛瑙研钵，压片模具，药品红外光谱集等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1套</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201409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药物分析室，精密仪器室</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药学院410+510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溴化钾200ml，磺胺嘧啶20mg，盐酸普鲁卡因5ml，盐酸普鲁卡因胺20ml，盐酸氯丙嗪20mg，盐酸异丙嗪20mg等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500元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autoSpaceDE w:val="0"/>
        <w:autoSpaceDN w:val="0"/>
        <w:adjustRightInd w:val="0"/>
        <w:snapToGrid w:val="0"/>
        <w:jc w:val="center"/>
        <w:rPr>
          <w:rFonts w:ascii="宋体" w:hAnsi="宋体" w:hint="eastAsia"/>
          <w:sz w:val="32"/>
          <w:szCs w:val="32"/>
        </w:rPr>
      </w:pPr>
      <w:r>
        <w:rPr>
          <w:rFonts w:ascii="宋体" w:hAnsi="宋体" w:hint="eastAsia"/>
          <w:b/>
          <w:sz w:val="32"/>
          <w:szCs w:val="32"/>
        </w:rPr>
        <w:br w:type="page"/>
      </w:r>
      <w:r>
        <w:rPr>
          <w:rFonts w:ascii="宋体" w:hAnsi="宋体" w:hint="eastAsia"/>
          <w:b/>
          <w:sz w:val="32"/>
          <w:szCs w:val="32"/>
        </w:rPr>
        <w:lastRenderedPageBreak/>
        <w:t>药物分析学Ⅱ(732007)实验项目卡6</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诺氟沙星胶囊含量测定方法的设计及实践</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73200706</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12学时</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必做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在掌握容量分析、光谱分析和色谱分析等技术的基础上独立设计诺氟沙星胶囊的含量测定方法，练习制剂质量标准的制定。2.比较各种方法测定诺氟沙星胶囊含量的区别，理解中国药典中同一品种不同版本药典中分析方法的演进过程。</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1.药物结构特点与所选分析方法之间的关系依据。</w:t>
            </w:r>
          </w:p>
          <w:p w:rsidR="00355E04" w:rsidRDefault="00355E04" w:rsidP="0063328B">
            <w:pPr>
              <w:widowControl/>
              <w:autoSpaceDE w:val="0"/>
              <w:autoSpaceDN w:val="0"/>
              <w:adjustRightInd w:val="0"/>
              <w:snapToGrid w:val="0"/>
              <w:jc w:val="left"/>
              <w:rPr>
                <w:rFonts w:ascii="楷体" w:eastAsia="楷体" w:hAnsi="楷体" w:cs="宋体" w:hint="eastAsia"/>
                <w:color w:val="000000"/>
                <w:kern w:val="0"/>
                <w:sz w:val="24"/>
              </w:rPr>
            </w:pPr>
            <w:r>
              <w:rPr>
                <w:rFonts w:ascii="楷体" w:eastAsia="楷体" w:hAnsi="楷体" w:cs="宋体" w:hint="eastAsia"/>
                <w:color w:val="000000"/>
                <w:kern w:val="0"/>
                <w:sz w:val="24"/>
              </w:rPr>
              <w:t xml:space="preserve">2.可行性分析。3.所需仪器及试剂。4.具体实验步骤。 </w:t>
            </w:r>
          </w:p>
          <w:p w:rsidR="00355E04" w:rsidRDefault="00355E04" w:rsidP="0063328B">
            <w:pPr>
              <w:widowControl/>
              <w:autoSpaceDE w:val="0"/>
              <w:autoSpaceDN w:val="0"/>
              <w:adjustRightInd w:val="0"/>
              <w:snapToGrid w:val="0"/>
              <w:jc w:val="left"/>
              <w:rPr>
                <w:rFonts w:ascii="楷体" w:eastAsia="楷体" w:hAnsi="楷体" w:cs="宋体" w:hint="eastAsia"/>
                <w:color w:val="000000"/>
                <w:kern w:val="0"/>
                <w:sz w:val="24"/>
              </w:rPr>
            </w:pPr>
            <w:r>
              <w:rPr>
                <w:rFonts w:ascii="楷体" w:eastAsia="楷体" w:hAnsi="楷体" w:cs="宋体" w:hint="eastAsia"/>
                <w:color w:val="000000"/>
                <w:kern w:val="0"/>
                <w:sz w:val="24"/>
              </w:rPr>
              <w:t>5.含量测定实验结果的计算式。6.实验中应注意的问题。</w:t>
            </w:r>
          </w:p>
          <w:p w:rsidR="00355E04" w:rsidRDefault="00355E04" w:rsidP="0063328B">
            <w:pPr>
              <w:widowControl/>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7.参考文献。8.待实验结束后，要求写出实验报告。</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本实验为设计性实验，学生根据自己的设计方案，说明实验原理。</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1.演示性□；2.验证性□；3.综合性□；4.设计性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；5.研究性□。</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高效液相色谱仪，原子吸收分光光度法，紫外分光光度计，荧光仪，C</w:t>
            </w:r>
            <w:r>
              <w:rPr>
                <w:rFonts w:ascii="楷体" w:eastAsia="楷体" w:hAnsi="楷体" w:cs="宋体" w:hint="eastAsia"/>
                <w:color w:val="000000"/>
                <w:kern w:val="0"/>
                <w:sz w:val="24"/>
                <w:vertAlign w:val="subscript"/>
              </w:rPr>
              <w:t>18</w:t>
            </w:r>
            <w:r>
              <w:rPr>
                <w:rFonts w:ascii="楷体" w:eastAsia="楷体" w:hAnsi="楷体" w:cs="宋体" w:hint="eastAsia"/>
                <w:color w:val="000000"/>
                <w:kern w:val="0"/>
                <w:sz w:val="24"/>
              </w:rPr>
              <w:t>反相色谱柱，石英比色皿等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4套</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201409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药物分析室，精密仪器室</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药学院410+510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诺氟沙星对照品50mg，环丙沙星对照品50mg，依诺沙星对照品50mg，诺氟沙星胶囊30粒，盐酸100ml，乙腈200ml，三乙胺50ml，磷酸50ml，冰醋酸500ml，高氯酸100ml，橙黄IV10ml等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500元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autoSpaceDE w:val="0"/>
        <w:autoSpaceDN w:val="0"/>
        <w:adjustRightInd w:val="0"/>
        <w:snapToGrid w:val="0"/>
        <w:jc w:val="center"/>
        <w:rPr>
          <w:rFonts w:ascii="宋体" w:hAnsi="宋体" w:hint="eastAsia"/>
          <w:sz w:val="32"/>
          <w:szCs w:val="32"/>
        </w:rPr>
      </w:pPr>
      <w:r>
        <w:rPr>
          <w:rFonts w:ascii="宋体" w:hAnsi="宋体" w:hint="eastAsia"/>
          <w:b/>
          <w:sz w:val="32"/>
          <w:szCs w:val="32"/>
        </w:rPr>
        <w:br w:type="page"/>
      </w:r>
      <w:r>
        <w:rPr>
          <w:rFonts w:ascii="宋体" w:hAnsi="宋体" w:hint="eastAsia"/>
          <w:b/>
          <w:sz w:val="32"/>
          <w:szCs w:val="32"/>
        </w:rPr>
        <w:lastRenderedPageBreak/>
        <w:t>药物分析学Ⅱ(732007)实验项目卡7</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7"/>
        <w:gridCol w:w="6269"/>
        <w:gridCol w:w="1038"/>
      </w:tblGrid>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9" w:type="dxa"/>
            <w:tcBorders>
              <w:top w:val="single" w:sz="4" w:space="0" w:color="auto"/>
              <w:left w:val="nil"/>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5"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c>
          <w:tcPr>
            <w:tcW w:w="1030" w:type="dxa"/>
            <w:tcBorders>
              <w:top w:val="nil"/>
              <w:left w:val="single" w:sz="4" w:space="0" w:color="auto"/>
              <w:bottom w:val="nil"/>
              <w:right w:val="single" w:sz="4" w:space="0" w:color="auto"/>
            </w:tcBorders>
            <w:tcMar>
              <w:top w:w="0" w:type="dxa"/>
              <w:left w:w="40" w:type="dxa"/>
              <w:bottom w:w="0" w:type="dxa"/>
              <w:right w:w="40" w:type="dxa"/>
            </w:tcMar>
          </w:tcPr>
          <w:p w:rsidR="00355E04" w:rsidRDefault="00355E04" w:rsidP="0063328B">
            <w:pPr>
              <w:adjustRightInd w:val="0"/>
              <w:snapToGrid w:val="0"/>
              <w:rPr>
                <w:rFonts w:ascii="楷体" w:eastAsia="楷体" w:hAnsi="楷体"/>
                <w:sz w:val="24"/>
              </w:rPr>
            </w:pP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5" w:type="dxa"/>
            <w:tcBorders>
              <w:top w:val="single" w:sz="4" w:space="0" w:color="auto"/>
              <w:left w:val="single" w:sz="4" w:space="0" w:color="auto"/>
              <w:bottom w:val="single" w:sz="4" w:space="0" w:color="auto"/>
              <w:right w:val="single" w:sz="4" w:space="0" w:color="auto"/>
            </w:tcBorders>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5"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硫酸阿托品注射液含量测定</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73200707</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6学时</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选做</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1.掌握酸性染料比色法的基本原理和操作。</w:t>
            </w:r>
          </w:p>
          <w:p w:rsidR="00355E04" w:rsidRDefault="00355E04" w:rsidP="0063328B">
            <w:pPr>
              <w:autoSpaceDE w:val="0"/>
              <w:autoSpaceDN w:val="0"/>
              <w:adjustRightInd w:val="0"/>
              <w:snapToGrid w:val="0"/>
              <w:jc w:val="left"/>
              <w:rPr>
                <w:rFonts w:ascii="楷体" w:eastAsia="楷体" w:hAnsi="楷体" w:cs="宋体" w:hint="eastAsia"/>
                <w:color w:val="000000"/>
                <w:kern w:val="0"/>
                <w:sz w:val="24"/>
              </w:rPr>
            </w:pPr>
            <w:r>
              <w:rPr>
                <w:rFonts w:ascii="楷体" w:eastAsia="楷体" w:hAnsi="楷体" w:cs="宋体" w:hint="eastAsia"/>
                <w:color w:val="000000"/>
                <w:kern w:val="0"/>
                <w:sz w:val="24"/>
              </w:rPr>
              <w:t>2.熟悉注射剂分析的基本操作技术。</w:t>
            </w:r>
          </w:p>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3.掌握比色法的基本方法，要求和计算。</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1.对照品溶液的制备；2. 供试品溶液的制备；3. 硫酸阿托品的含量测定（酸性染料比色法）</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在适当pH溶液中，有机碱（B）可以与H+结合生成阳离子（BH+），酸性染料（HIn）可解离成阴离子（In-），In-可与BH+定量地结合成有色离子对。有机溶剂提取后，在420 nm处测定有色离子对的吸收度，可计算药物含量。</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1.演示性□；2.验证性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；3.综合性□；4.设计性□；5.研究性□。</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电子天平（0.01mg）、紫外分光光度仪等</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4套</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201209</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药物分析室，精密仪器室</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药学院410+510</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 xml:space="preserve">阿托品注射液10ml、阿托品对照品50mg、一次性注射器5、氯仿100ml、溴甲酚绿1g、邻苯二甲酸氢钾10g、氢氧化钠10g、乙醇200ml、擦镜纸0.1本、滤纸5张等     </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230元</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gridAfter w:val="1"/>
          <w:wAfter w:w="544" w:type="pct"/>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9"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5"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rPr>
          <w:rFonts w:hint="eastAsia"/>
        </w:rPr>
      </w:pPr>
    </w:p>
    <w:p w:rsidR="00355E04" w:rsidRDefault="00355E04" w:rsidP="00355E04">
      <w:pPr>
        <w:autoSpaceDE w:val="0"/>
        <w:autoSpaceDN w:val="0"/>
        <w:adjustRightInd w:val="0"/>
        <w:snapToGrid w:val="0"/>
        <w:jc w:val="center"/>
        <w:rPr>
          <w:rFonts w:ascii="宋体" w:hAnsi="宋体"/>
          <w:sz w:val="32"/>
          <w:szCs w:val="32"/>
        </w:rPr>
      </w:pPr>
      <w:r>
        <w:rPr>
          <w:rFonts w:ascii="宋体" w:hAnsi="宋体" w:hint="eastAsia"/>
          <w:b/>
          <w:sz w:val="32"/>
          <w:szCs w:val="32"/>
        </w:rPr>
        <w:br w:type="page"/>
      </w:r>
      <w:r>
        <w:rPr>
          <w:rFonts w:ascii="宋体" w:hAnsi="宋体" w:hint="eastAsia"/>
          <w:b/>
          <w:sz w:val="32"/>
          <w:szCs w:val="32"/>
        </w:rPr>
        <w:lastRenderedPageBreak/>
        <w:t>药物分析学Ⅱ(732007)实验项目卡8</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青霉素V钾的含量测定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73200708</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8学时</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选做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掌握电位滴定法，掌握汞量法测定青霉素V钾的原理及操作。</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进行电位滴定仪操作并完成青霉素V钾含量的测定操作，同时计算青霉素V钾的百分含量。</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青霉素V钾易生成降解产物。青霉胺为水解产物，其与汞定量反应R-SH+Hg2+→RSHg+ 。先测总青霉素V钾含量；再测降解物含量，二者之差即为青霉素 V钾的百分含量。电位滴定法指示终点。手工方法滴定， 记录E-V 数据绘图并终点判定。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1.演示性□；2.验证性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；3.综合性□；4.设计性□；5.研究性□。</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电位滴定仪，电子天平（0.01mg），电子天平（0.1mg），酸度计，气流烘干器，蒸馏水器，恒温干燥箱，切纸刀。</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10套</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200109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药物分析室</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药学院410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ind w:left="120" w:hangingChars="50" w:hanging="120"/>
              <w:jc w:val="left"/>
              <w:rPr>
                <w:rFonts w:ascii="楷体" w:eastAsia="楷体" w:hAnsi="楷体" w:cs="宋体"/>
                <w:color w:val="000000"/>
                <w:kern w:val="0"/>
                <w:sz w:val="24"/>
              </w:rPr>
            </w:pPr>
            <w:r>
              <w:rPr>
                <w:rFonts w:ascii="楷体" w:eastAsia="楷体" w:hAnsi="楷体" w:cs="宋体" w:hint="eastAsia"/>
                <w:color w:val="000000"/>
                <w:kern w:val="0"/>
                <w:sz w:val="24"/>
              </w:rPr>
              <w:t>青霉素V钾2g，氢氧化钠2g，硝酸汞2g，氯化钠50g，醋酸钠50g，蒸馏水500ml等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108.40元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355E04" w:rsidRDefault="00355E04" w:rsidP="00355E04">
      <w:pPr>
        <w:rPr>
          <w:rFonts w:hint="eastAsia"/>
        </w:rPr>
      </w:pPr>
    </w:p>
    <w:p w:rsidR="00355E04" w:rsidRDefault="00355E04" w:rsidP="00355E04">
      <w:pPr>
        <w:autoSpaceDE w:val="0"/>
        <w:autoSpaceDN w:val="0"/>
        <w:adjustRightInd w:val="0"/>
        <w:snapToGrid w:val="0"/>
        <w:jc w:val="center"/>
        <w:rPr>
          <w:rFonts w:ascii="宋体" w:hAnsi="宋体"/>
          <w:sz w:val="32"/>
          <w:szCs w:val="32"/>
        </w:rPr>
      </w:pPr>
      <w:r>
        <w:br w:type="page"/>
      </w:r>
      <w:r>
        <w:rPr>
          <w:rFonts w:ascii="宋体" w:hAnsi="宋体" w:hint="eastAsia"/>
          <w:b/>
          <w:sz w:val="32"/>
          <w:szCs w:val="32"/>
        </w:rPr>
        <w:lastRenderedPageBreak/>
        <w:t>药物分析学Ⅱ(732007)实验项目卡9</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jc w:val="center"/>
              <w:rPr>
                <w:rFonts w:ascii="楷体_GB2312" w:eastAsia="楷体_GB2312" w:hAnsi="宋体" w:cs="宋体"/>
                <w:color w:val="000000"/>
                <w:kern w:val="0"/>
                <w:sz w:val="24"/>
              </w:rPr>
            </w:pPr>
            <w:r>
              <w:rPr>
                <w:rFonts w:ascii="仿宋_GB2312" w:eastAsia="仿宋_GB2312" w:hAnsi="宋体" w:cs="宋体" w:hint="eastAsia"/>
                <w:b/>
                <w:kern w:val="0"/>
                <w:szCs w:val="21"/>
              </w:rPr>
              <w:t>填写内容</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药物分析学Ⅱ</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阿司匹林肠溶片的含量测定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73200709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8学时</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选做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1.掌握阿司匹林的鉴别方法。2.掌握两步滴定法测定阿司匹林含量的原理和操作方法。3.掌握片剂的分析方法</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1.阿司匹林的鉴别。2.硫酸滴定液的标定。</w:t>
            </w:r>
          </w:p>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3.阿司匹林肠溶片的含量测定。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阿司匹林易水解，产生水杨酸和醋酸。片剂中还加入枸橼酸或酒石酸作稳定剂，所以不能采用直接水解后剩余碱量法测定阿司匹林的含量，采用两步滴定法进行测定。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本科生</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电子天平（0.01mg），电子天平（0.1mg），酸式滴定管，碱式滴定管、气流烘干器，蒸馏水器，恒温干燥箱，切纸刀。</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15套</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200609</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73</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药学实验中心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133101</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药物分析室</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药学院410</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ind w:leftChars="-1" w:left="-2"/>
              <w:jc w:val="left"/>
              <w:rPr>
                <w:rFonts w:ascii="楷体" w:eastAsia="楷体" w:hAnsi="楷体" w:cs="宋体"/>
                <w:color w:val="000000"/>
                <w:kern w:val="0"/>
                <w:sz w:val="24"/>
              </w:rPr>
            </w:pPr>
            <w:r>
              <w:rPr>
                <w:rFonts w:ascii="楷体" w:eastAsia="楷体" w:hAnsi="楷体" w:cs="宋体" w:hint="eastAsia"/>
                <w:color w:val="000000"/>
                <w:kern w:val="0"/>
                <w:sz w:val="24"/>
              </w:rPr>
              <w:t>阿司匹林肠溶片20片、硫酸50ml、无水碳酸钠10g、甲基红1g溴甲酚绿1g、乙醇300ml、氢氧化钠10g、三氯化铁10g，蒸馏水500ml等</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88.40元</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药学专业</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赵春芳副教授</w:t>
            </w:r>
          </w:p>
        </w:tc>
      </w:tr>
      <w:tr w:rsidR="00355E04"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355E04" w:rsidRDefault="00355E04"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355E04" w:rsidRDefault="00355E04" w:rsidP="0063328B">
            <w:pPr>
              <w:autoSpaceDE w:val="0"/>
              <w:autoSpaceDN w:val="0"/>
              <w:adjustRightInd w:val="0"/>
              <w:snapToGrid w:val="0"/>
              <w:jc w:val="left"/>
              <w:rPr>
                <w:rFonts w:ascii="楷体" w:eastAsia="楷体" w:hAnsi="楷体" w:cs="宋体"/>
                <w:color w:val="000000"/>
                <w:kern w:val="0"/>
                <w:sz w:val="24"/>
              </w:rPr>
            </w:pPr>
            <w:r>
              <w:rPr>
                <w:rFonts w:ascii="楷体" w:eastAsia="楷体" w:hAnsi="楷体" w:cs="宋体" w:hint="eastAsia"/>
                <w:color w:val="000000"/>
                <w:kern w:val="0"/>
                <w:sz w:val="24"/>
              </w:rPr>
              <w:t>刘忠英教授</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瀹嬩綋">
    <w:altName w:val="宋体"/>
    <w:charset w:val="86"/>
    <w:family w:val="roma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B64"/>
    <w:multiLevelType w:val="multilevel"/>
    <w:tmpl w:val="0DF81B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FAF0D1E"/>
    <w:multiLevelType w:val="multilevel"/>
    <w:tmpl w:val="2FAF0D1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63C5FF1"/>
    <w:multiLevelType w:val="multilevel"/>
    <w:tmpl w:val="363C5FF1"/>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39B45DF2"/>
    <w:multiLevelType w:val="multilevel"/>
    <w:tmpl w:val="39B45DF2"/>
    <w:lvl w:ilvl="0">
      <w:start w:val="12"/>
      <w:numFmt w:val="decimal"/>
      <w:lvlText w:val="%1．"/>
      <w:lvlJc w:val="left"/>
      <w:pPr>
        <w:ind w:left="1190" w:hanging="63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3EC25784"/>
    <w:multiLevelType w:val="multilevel"/>
    <w:tmpl w:val="3EC2578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1F22C79"/>
    <w:multiLevelType w:val="multilevel"/>
    <w:tmpl w:val="41F22C79"/>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5EB698E"/>
    <w:multiLevelType w:val="multilevel"/>
    <w:tmpl w:val="55EB698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7AF7C9D"/>
    <w:multiLevelType w:val="multilevel"/>
    <w:tmpl w:val="67AF7C9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9D15499"/>
    <w:multiLevelType w:val="multilevel"/>
    <w:tmpl w:val="69D15499"/>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6A8F4711"/>
    <w:multiLevelType w:val="multilevel"/>
    <w:tmpl w:val="6A8F47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7"/>
  </w:num>
  <w:num w:numId="4">
    <w:abstractNumId w:val="6"/>
  </w:num>
  <w:num w:numId="5">
    <w:abstractNumId w:val="9"/>
  </w:num>
  <w:num w:numId="6">
    <w:abstractNumId w:val="5"/>
  </w:num>
  <w:num w:numId="7">
    <w:abstractNumId w:val="1"/>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5E04"/>
    <w:rsid w:val="00355E04"/>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Colorful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E04"/>
    <w:pPr>
      <w:widowControl w:val="0"/>
      <w:jc w:val="both"/>
    </w:pPr>
    <w:rPr>
      <w:rFonts w:ascii="Times New Roman" w:eastAsia="宋体" w:hAnsi="Times New Roman" w:cs="Times New Roman"/>
      <w:szCs w:val="24"/>
    </w:rPr>
  </w:style>
  <w:style w:type="paragraph" w:styleId="1">
    <w:name w:val="heading 1"/>
    <w:basedOn w:val="a"/>
    <w:next w:val="a"/>
    <w:link w:val="1Char"/>
    <w:qFormat/>
    <w:rsid w:val="00355E0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55E04"/>
    <w:rPr>
      <w:rFonts w:ascii="Times New Roman" w:eastAsia="宋体" w:hAnsi="Times New Roman" w:cs="Times New Roman"/>
      <w:b/>
      <w:bCs/>
      <w:kern w:val="44"/>
      <w:sz w:val="44"/>
      <w:szCs w:val="44"/>
    </w:rPr>
  </w:style>
  <w:style w:type="character" w:customStyle="1" w:styleId="bookattfontblack1">
    <w:name w:val="bookattfontblack1"/>
    <w:basedOn w:val="a0"/>
    <w:rsid w:val="00355E04"/>
    <w:rPr>
      <w:rFonts w:ascii="瀹嬩綋" w:eastAsia="瀹嬩綋" w:hint="eastAsia"/>
      <w:color w:val="000000"/>
      <w:sz w:val="18"/>
      <w:szCs w:val="18"/>
    </w:rPr>
  </w:style>
  <w:style w:type="character" w:styleId="a3">
    <w:name w:val="annotation reference"/>
    <w:basedOn w:val="a0"/>
    <w:uiPriority w:val="99"/>
    <w:unhideWhenUsed/>
    <w:rsid w:val="00355E04"/>
    <w:rPr>
      <w:sz w:val="21"/>
      <w:szCs w:val="21"/>
    </w:rPr>
  </w:style>
  <w:style w:type="character" w:customStyle="1" w:styleId="Char">
    <w:name w:val="批注主题 Char"/>
    <w:basedOn w:val="Char0"/>
    <w:link w:val="a4"/>
    <w:uiPriority w:val="99"/>
    <w:rsid w:val="00355E04"/>
    <w:rPr>
      <w:b/>
      <w:bCs/>
    </w:rPr>
  </w:style>
  <w:style w:type="character" w:customStyle="1" w:styleId="Char1">
    <w:name w:val="页脚 Char"/>
    <w:basedOn w:val="a0"/>
    <w:link w:val="a5"/>
    <w:uiPriority w:val="99"/>
    <w:rsid w:val="00355E04"/>
    <w:rPr>
      <w:sz w:val="18"/>
      <w:szCs w:val="18"/>
    </w:rPr>
  </w:style>
  <w:style w:type="character" w:customStyle="1" w:styleId="Char0">
    <w:name w:val="批注文字 Char"/>
    <w:basedOn w:val="a0"/>
    <w:link w:val="a6"/>
    <w:uiPriority w:val="99"/>
    <w:rsid w:val="00355E04"/>
    <w:rPr>
      <w:rFonts w:ascii="Calibri" w:hAnsi="Calibri"/>
    </w:rPr>
  </w:style>
  <w:style w:type="character" w:customStyle="1" w:styleId="sy21">
    <w:name w:val="sy21"/>
    <w:basedOn w:val="a0"/>
    <w:rsid w:val="00355E04"/>
    <w:rPr>
      <w:sz w:val="21"/>
      <w:szCs w:val="21"/>
    </w:rPr>
  </w:style>
  <w:style w:type="character" w:customStyle="1" w:styleId="Char2">
    <w:name w:val="正文文本缩进 Char"/>
    <w:basedOn w:val="a0"/>
    <w:link w:val="a7"/>
    <w:rsid w:val="00355E04"/>
    <w:rPr>
      <w:color w:val="FF0000"/>
      <w:szCs w:val="21"/>
    </w:rPr>
  </w:style>
  <w:style w:type="character" w:customStyle="1" w:styleId="Char3">
    <w:name w:val="批注框文本 Char"/>
    <w:basedOn w:val="a0"/>
    <w:link w:val="a8"/>
    <w:uiPriority w:val="99"/>
    <w:rsid w:val="00355E04"/>
    <w:rPr>
      <w:sz w:val="18"/>
      <w:szCs w:val="18"/>
    </w:rPr>
  </w:style>
  <w:style w:type="character" w:customStyle="1" w:styleId="Char4">
    <w:name w:val="页眉 Char"/>
    <w:basedOn w:val="a0"/>
    <w:link w:val="a9"/>
    <w:uiPriority w:val="99"/>
    <w:rsid w:val="00355E04"/>
    <w:rPr>
      <w:sz w:val="18"/>
      <w:szCs w:val="18"/>
    </w:rPr>
  </w:style>
  <w:style w:type="character" w:styleId="aa">
    <w:name w:val="Hyperlink"/>
    <w:basedOn w:val="a0"/>
    <w:rsid w:val="00355E04"/>
    <w:rPr>
      <w:strike w:val="0"/>
      <w:dstrike w:val="0"/>
      <w:color w:val="000000"/>
      <w:sz w:val="18"/>
      <w:szCs w:val="18"/>
      <w:u w:val="none"/>
    </w:rPr>
  </w:style>
  <w:style w:type="character" w:customStyle="1" w:styleId="2Char">
    <w:name w:val="正文文本缩进 2 Char"/>
    <w:basedOn w:val="a0"/>
    <w:link w:val="2"/>
    <w:uiPriority w:val="99"/>
    <w:rsid w:val="00355E04"/>
    <w:rPr>
      <w:szCs w:val="24"/>
    </w:rPr>
  </w:style>
  <w:style w:type="paragraph" w:styleId="a9">
    <w:name w:val="header"/>
    <w:basedOn w:val="a"/>
    <w:link w:val="Char4"/>
    <w:uiPriority w:val="99"/>
    <w:rsid w:val="00355E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9"/>
    <w:uiPriority w:val="99"/>
    <w:semiHidden/>
    <w:rsid w:val="00355E04"/>
    <w:rPr>
      <w:rFonts w:ascii="Times New Roman" w:eastAsia="宋体" w:hAnsi="Times New Roman" w:cs="Times New Roman"/>
      <w:sz w:val="18"/>
      <w:szCs w:val="18"/>
    </w:rPr>
  </w:style>
  <w:style w:type="paragraph" w:styleId="ab">
    <w:name w:val="Normal (Web)"/>
    <w:basedOn w:val="a"/>
    <w:rsid w:val="00355E04"/>
    <w:pPr>
      <w:widowControl/>
      <w:spacing w:before="100" w:beforeAutospacing="1" w:after="100" w:afterAutospacing="1"/>
      <w:jc w:val="left"/>
    </w:pPr>
    <w:rPr>
      <w:rFonts w:ascii="宋体" w:hAnsi="宋体"/>
      <w:kern w:val="0"/>
      <w:sz w:val="24"/>
    </w:rPr>
  </w:style>
  <w:style w:type="paragraph" w:styleId="a6">
    <w:name w:val="annotation text"/>
    <w:basedOn w:val="a"/>
    <w:link w:val="Char0"/>
    <w:uiPriority w:val="99"/>
    <w:unhideWhenUsed/>
    <w:rsid w:val="00355E04"/>
    <w:pPr>
      <w:jc w:val="left"/>
    </w:pPr>
    <w:rPr>
      <w:rFonts w:ascii="Calibri" w:eastAsiaTheme="minorEastAsia" w:hAnsi="Calibri" w:cstheme="minorBidi"/>
      <w:szCs w:val="22"/>
    </w:rPr>
  </w:style>
  <w:style w:type="character" w:customStyle="1" w:styleId="Char11">
    <w:name w:val="批注文字 Char1"/>
    <w:basedOn w:val="a0"/>
    <w:link w:val="a6"/>
    <w:uiPriority w:val="99"/>
    <w:semiHidden/>
    <w:rsid w:val="00355E04"/>
    <w:rPr>
      <w:rFonts w:ascii="Times New Roman" w:eastAsia="宋体" w:hAnsi="Times New Roman" w:cs="Times New Roman"/>
      <w:szCs w:val="24"/>
    </w:rPr>
  </w:style>
  <w:style w:type="paragraph" w:styleId="a7">
    <w:name w:val="Body Text Indent"/>
    <w:basedOn w:val="a"/>
    <w:link w:val="Char2"/>
    <w:rsid w:val="00355E04"/>
    <w:pPr>
      <w:ind w:left="420"/>
    </w:pPr>
    <w:rPr>
      <w:rFonts w:asciiTheme="minorHAnsi" w:eastAsiaTheme="minorEastAsia" w:hAnsiTheme="minorHAnsi" w:cstheme="minorBidi"/>
      <w:color w:val="FF0000"/>
      <w:szCs w:val="21"/>
    </w:rPr>
  </w:style>
  <w:style w:type="character" w:customStyle="1" w:styleId="Char12">
    <w:name w:val="正文文本缩进 Char1"/>
    <w:basedOn w:val="a0"/>
    <w:link w:val="a7"/>
    <w:uiPriority w:val="99"/>
    <w:semiHidden/>
    <w:rsid w:val="00355E04"/>
    <w:rPr>
      <w:rFonts w:ascii="Times New Roman" w:eastAsia="宋体" w:hAnsi="Times New Roman" w:cs="Times New Roman"/>
      <w:szCs w:val="24"/>
    </w:rPr>
  </w:style>
  <w:style w:type="paragraph" w:styleId="a5">
    <w:name w:val="footer"/>
    <w:basedOn w:val="a"/>
    <w:link w:val="Char1"/>
    <w:uiPriority w:val="99"/>
    <w:rsid w:val="00355E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0"/>
    <w:link w:val="a5"/>
    <w:uiPriority w:val="99"/>
    <w:semiHidden/>
    <w:rsid w:val="00355E04"/>
    <w:rPr>
      <w:rFonts w:ascii="Times New Roman" w:eastAsia="宋体" w:hAnsi="Times New Roman" w:cs="Times New Roman"/>
      <w:sz w:val="18"/>
      <w:szCs w:val="18"/>
    </w:rPr>
  </w:style>
  <w:style w:type="paragraph" w:styleId="a8">
    <w:name w:val="Balloon Text"/>
    <w:basedOn w:val="a"/>
    <w:link w:val="Char3"/>
    <w:uiPriority w:val="99"/>
    <w:rsid w:val="00355E04"/>
    <w:rPr>
      <w:rFonts w:asciiTheme="minorHAnsi" w:eastAsiaTheme="minorEastAsia" w:hAnsiTheme="minorHAnsi" w:cstheme="minorBidi"/>
      <w:sz w:val="18"/>
      <w:szCs w:val="18"/>
    </w:rPr>
  </w:style>
  <w:style w:type="character" w:customStyle="1" w:styleId="Char14">
    <w:name w:val="批注框文本 Char1"/>
    <w:basedOn w:val="a0"/>
    <w:link w:val="a8"/>
    <w:uiPriority w:val="99"/>
    <w:semiHidden/>
    <w:rsid w:val="00355E04"/>
    <w:rPr>
      <w:rFonts w:ascii="Times New Roman" w:eastAsia="宋体" w:hAnsi="Times New Roman" w:cs="Times New Roman"/>
      <w:sz w:val="18"/>
      <w:szCs w:val="18"/>
    </w:rPr>
  </w:style>
  <w:style w:type="paragraph" w:styleId="2">
    <w:name w:val="Body Text Indent 2"/>
    <w:basedOn w:val="a"/>
    <w:link w:val="2Char"/>
    <w:uiPriority w:val="99"/>
    <w:unhideWhenUsed/>
    <w:rsid w:val="00355E04"/>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0"/>
    <w:link w:val="2"/>
    <w:uiPriority w:val="99"/>
    <w:semiHidden/>
    <w:rsid w:val="00355E04"/>
    <w:rPr>
      <w:rFonts w:ascii="Times New Roman" w:eastAsia="宋体" w:hAnsi="Times New Roman" w:cs="Times New Roman"/>
      <w:szCs w:val="24"/>
    </w:rPr>
  </w:style>
  <w:style w:type="paragraph" w:styleId="a4">
    <w:name w:val="annotation subject"/>
    <w:basedOn w:val="a6"/>
    <w:next w:val="a6"/>
    <w:link w:val="Char"/>
    <w:uiPriority w:val="99"/>
    <w:unhideWhenUsed/>
    <w:rsid w:val="00355E04"/>
    <w:rPr>
      <w:b/>
      <w:bCs/>
    </w:rPr>
  </w:style>
  <w:style w:type="character" w:customStyle="1" w:styleId="Char15">
    <w:name w:val="批注主题 Char1"/>
    <w:basedOn w:val="Char11"/>
    <w:link w:val="a4"/>
    <w:uiPriority w:val="99"/>
    <w:semiHidden/>
    <w:rsid w:val="00355E04"/>
    <w:rPr>
      <w:b/>
      <w:bCs/>
    </w:rPr>
  </w:style>
  <w:style w:type="paragraph" w:customStyle="1" w:styleId="Default">
    <w:name w:val="Default"/>
    <w:rsid w:val="00355E04"/>
    <w:pPr>
      <w:widowControl w:val="0"/>
      <w:autoSpaceDE w:val="0"/>
      <w:autoSpaceDN w:val="0"/>
      <w:adjustRightInd w:val="0"/>
    </w:pPr>
    <w:rPr>
      <w:rFonts w:ascii="Times New Roman" w:eastAsia="宋体" w:hAnsi="Times New Roman" w:cs="Times New Roman"/>
      <w:color w:val="000000"/>
      <w:kern w:val="0"/>
      <w:sz w:val="24"/>
      <w:szCs w:val="24"/>
    </w:rPr>
  </w:style>
  <w:style w:type="table" w:styleId="ac">
    <w:name w:val="Table Grid"/>
    <w:basedOn w:val="a1"/>
    <w:rsid w:val="00355E0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Colorful 3"/>
    <w:basedOn w:val="a1"/>
    <w:rsid w:val="00355E04"/>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2016-02-01T03:01:00Z</dcterms:created>
  <dcterms:modified xsi:type="dcterms:W3CDTF">2016-02-01T03:01:00Z</dcterms:modified>
</cp:coreProperties>
</file>