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1A" w:rsidRDefault="00071C1A" w:rsidP="00071C1A">
      <w:pPr>
        <w:pStyle w:val="1"/>
        <w:spacing w:before="156" w:after="156" w:line="40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基因工程学（732018）实验教学大纲</w:t>
      </w:r>
    </w:p>
    <w:p w:rsidR="00071C1A" w:rsidRDefault="00071C1A" w:rsidP="00071C1A">
      <w:pPr>
        <w:rPr>
          <w:rFonts w:ascii="楷体_GB2312" w:eastAsia="楷体_GB2312" w:hint="eastAsia"/>
        </w:rPr>
      </w:pP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01．教学单位名称：</w:t>
      </w:r>
      <w:r>
        <w:rPr>
          <w:rFonts w:ascii="楷体_GB2312" w:eastAsia="楷体_GB2312" w:hAnsi="华文中宋" w:hint="eastAsia"/>
          <w:sz w:val="24"/>
        </w:rPr>
        <w:t>吉林大学药学院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02．实验中心名称：</w:t>
      </w:r>
      <w:r>
        <w:rPr>
          <w:rFonts w:ascii="楷体_GB2312" w:eastAsia="楷体_GB2312" w:hAnsi="华文中宋" w:hint="eastAsia"/>
          <w:sz w:val="24"/>
        </w:rPr>
        <w:t>生物工程（医学）实验中心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03．课程名称：</w:t>
      </w:r>
      <w:r>
        <w:rPr>
          <w:rFonts w:ascii="楷体_GB2312" w:eastAsia="楷体_GB2312" w:hAnsi="华文中宋" w:hint="eastAsia"/>
          <w:sz w:val="24"/>
        </w:rPr>
        <w:t>基因工程学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04．课程代码：</w:t>
      </w:r>
      <w:r>
        <w:rPr>
          <w:rFonts w:ascii="楷体_GB2312" w:eastAsia="楷体_GB2312" w:hAnsi="华文中宋" w:hint="eastAsia"/>
          <w:sz w:val="24"/>
        </w:rPr>
        <w:t>732018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05．课程类别：</w:t>
      </w:r>
      <w:r>
        <w:rPr>
          <w:rFonts w:ascii="楷体_GB2312" w:eastAsia="楷体_GB2312" w:hAnsi="华文中宋" w:hint="eastAsia"/>
          <w:sz w:val="24"/>
        </w:rPr>
        <w:t>专业课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06．课程性质：</w:t>
      </w:r>
      <w:r>
        <w:rPr>
          <w:rFonts w:ascii="楷体_GB2312" w:eastAsia="楷体_GB2312" w:hAnsi="华文中宋" w:hint="eastAsia"/>
          <w:sz w:val="24"/>
        </w:rPr>
        <w:t>必修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07．课程学时：</w:t>
      </w:r>
      <w:r>
        <w:rPr>
          <w:rFonts w:ascii="楷体_GB2312" w:eastAsia="楷体_GB2312" w:hAnsi="华文中宋" w:hint="eastAsia"/>
          <w:sz w:val="24"/>
        </w:rPr>
        <w:t>96学时，其中含实验 48学时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08．课程学分：</w:t>
      </w:r>
      <w:r>
        <w:rPr>
          <w:rFonts w:ascii="楷体_GB2312" w:eastAsia="楷体_GB2312" w:hAnsi="华文中宋" w:hint="eastAsia"/>
          <w:sz w:val="24"/>
        </w:rPr>
        <w:t>4.5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09．面向专业：</w:t>
      </w:r>
      <w:r>
        <w:rPr>
          <w:rFonts w:ascii="楷体_GB2312" w:eastAsia="楷体_GB2312" w:hAnsi="华文中宋" w:hint="eastAsia"/>
          <w:sz w:val="24"/>
        </w:rPr>
        <w:t>生物医学工程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10．实验课程的教学任务、要求和教学目的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基因工程技术是现代生物技术的核心技术，《基因工程学》是生命学科的专业必修课，也是一门实践性很强的课程，基因工程实验课是基因工程课程教学中的重要组成部分。本课程的目的是使学生加深对理论知识的理解，掌握基因工程核心技术DNA重组技术的原理和操作方法，提高实验操作技能，掌握基因克隆的设计思路和策略，培养学生独立工作的能力和实事求是的科学作风，为以后的学习和科研工作打下良好的基础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本课程的实验教学是基因工程理论教学内容的实践，要求学生全面掌握DNA重组技术的原理和操作方法，包括DNA的提取技术、DNA扩增技术、DNA的酶切技术、DNA重组与转化技术及目的基因的筛选技术；掌握T7启动子表达载体诱导目的蛋白表达的原理和操作方法；掌握利用SDS-PAGE鉴定目的蛋白的原理。熟悉蛋白电泳和DNA电泳胶的制备；了解常用仪器的使用方法和注意事项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11．学生应掌握的实验技术及实验能力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通过本实验课程的学习，使学生掌握基因工程的基本实验原理、操作方法、注意事项，加深对理论知识的理解，同时学会分析实验结果，书写实验报告。具体应达到以下要求：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（1）掌握DNA重组技术的原理和操作方法。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（2）熟悉SDS-PAGE电泳胶的制作，染色和脱色的原理；熟悉DNA电泳胶的配制方法和电泳原理。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（3）了解PCR仪的使用和程序设计方法。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（4）培养学生独立思考、提出问题和解决问题的能力。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12．开设实验项目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DNA重组技术是基因工程学的核心技术，是将不同的DNA片段按人们的设计方案定向连接起来，并在特定的受体细胞中复制表达。我们根据DNA重组技术的操作程序设计基因工程学实验，从采用PCR方法扩增目的基因，限制性酶切后与合适的载体连接形成重组DNA，转化受体细胞，到筛选重组子设计成综合性实验一。将实验一获得的重组子进行诱导表达得到目的蛋白为实验二，实验三是利用SDS-PAGE电泳检测实验二获得的目的蛋白。通过基因工程学实验，可以使同学们掌握基本的实验技术，并对DNA重组技术有一个全面系统的理解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</w:p>
    <w:p w:rsidR="00071C1A" w:rsidRDefault="00071C1A" w:rsidP="00071C1A">
      <w:pPr>
        <w:adjustRightInd w:val="0"/>
        <w:snapToGrid w:val="0"/>
        <w:spacing w:line="320" w:lineRule="exact"/>
        <w:jc w:val="center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lastRenderedPageBreak/>
        <w:t>开设实验项目一览表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2340"/>
        <w:gridCol w:w="1080"/>
        <w:gridCol w:w="1080"/>
        <w:gridCol w:w="1080"/>
        <w:gridCol w:w="907"/>
        <w:gridCol w:w="917"/>
      </w:tblGrid>
      <w:tr w:rsidR="00071C1A" w:rsidTr="0063328B">
        <w:trPr>
          <w:trHeight w:val="285"/>
        </w:trPr>
        <w:tc>
          <w:tcPr>
            <w:tcW w:w="1445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实验项目编号</w:t>
            </w:r>
          </w:p>
        </w:tc>
        <w:tc>
          <w:tcPr>
            <w:tcW w:w="234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实验项目名称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实验性质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实验学时</w:t>
            </w:r>
          </w:p>
        </w:tc>
        <w:tc>
          <w:tcPr>
            <w:tcW w:w="907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每组人数</w:t>
            </w:r>
          </w:p>
        </w:tc>
        <w:tc>
          <w:tcPr>
            <w:tcW w:w="917" w:type="dxa"/>
          </w:tcPr>
          <w:p w:rsidR="00071C1A" w:rsidRDefault="00071C1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首次开出年月</w:t>
            </w:r>
          </w:p>
        </w:tc>
      </w:tr>
      <w:tr w:rsidR="00071C1A" w:rsidTr="0063328B">
        <w:trPr>
          <w:trHeight w:val="285"/>
        </w:trPr>
        <w:tc>
          <w:tcPr>
            <w:tcW w:w="1445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73201801</w:t>
            </w:r>
          </w:p>
        </w:tc>
        <w:tc>
          <w:tcPr>
            <w:tcW w:w="2340" w:type="dxa"/>
            <w:vAlign w:val="center"/>
          </w:tcPr>
          <w:p w:rsidR="00071C1A" w:rsidRDefault="00071C1A" w:rsidP="0063328B">
            <w:pPr>
              <w:widowControl/>
              <w:tabs>
                <w:tab w:val="left" w:pos="2118"/>
              </w:tabs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已知序列基因的克隆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907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17" w:type="dxa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200704</w:t>
            </w:r>
          </w:p>
        </w:tc>
      </w:tr>
      <w:tr w:rsidR="00071C1A" w:rsidTr="0063328B">
        <w:trPr>
          <w:trHeight w:val="285"/>
        </w:trPr>
        <w:tc>
          <w:tcPr>
            <w:tcW w:w="1445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73201802</w:t>
            </w:r>
          </w:p>
        </w:tc>
        <w:tc>
          <w:tcPr>
            <w:tcW w:w="234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目的蛋白的诱导表达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907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17" w:type="dxa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200704</w:t>
            </w:r>
          </w:p>
        </w:tc>
      </w:tr>
      <w:tr w:rsidR="00071C1A" w:rsidTr="0063328B">
        <w:trPr>
          <w:trHeight w:val="285"/>
        </w:trPr>
        <w:tc>
          <w:tcPr>
            <w:tcW w:w="1445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73201803</w:t>
            </w:r>
          </w:p>
        </w:tc>
        <w:tc>
          <w:tcPr>
            <w:tcW w:w="234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SDS－聚丙烯酰胺凝胶电泳检测目的蛋白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907" w:type="dxa"/>
            <w:vAlign w:val="center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17" w:type="dxa"/>
          </w:tcPr>
          <w:p w:rsidR="00071C1A" w:rsidRDefault="00071C1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200704</w:t>
            </w:r>
          </w:p>
        </w:tc>
      </w:tr>
    </w:tbl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13．实验教材或指导书或主要参考资料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（1）魏景艳等，基因工程学实验，自编，2007年.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（2）马文丽，《分子生物学实验手册》，人民军医出版社，2011年6月.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（3）J.萨姆布鲁克等，《分子克隆实验指南》（精编版），化学工业出版社，2008年1月.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14．考核要求、考核方式及成绩评定标准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考核要求：掌握DNA重组技术的原理；已知序列基因克隆的实验操作方法；T7启动子表达系统诱导外源蛋白表达的原理和方法；SDS-PAGE电泳鉴定目的蛋白的原理和方法。</w:t>
      </w:r>
    </w:p>
    <w:p w:rsidR="00071C1A" w:rsidRDefault="00071C1A" w:rsidP="00071C1A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考核方式：实验操作、实验态度和实验报告。</w:t>
      </w:r>
    </w:p>
    <w:p w:rsidR="00071C1A" w:rsidRDefault="00071C1A" w:rsidP="00071C1A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成绩评定标准：实验报告（40%）、实验操作（40%）和实验态度（20%）三项为实验成绩评分的考核标准，实验课考核成绩占《基因工程学》课程总成绩的30%。</w:t>
      </w:r>
    </w:p>
    <w:p w:rsidR="00071C1A" w:rsidRDefault="00071C1A" w:rsidP="00071C1A">
      <w:pPr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15．执笔人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霍锐 副教授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16．制定日期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20131021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17．审核人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华文中宋" w:hint="eastAsia"/>
          <w:sz w:val="24"/>
        </w:rPr>
        <w:t>魏景艳 教授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18．审核日期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20131028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19．学院审定程序说明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大纲制定完毕后首先由学院教学指导委员对实验内容进行审定，然后由负责该实验的实验中心对耗材及价格进行审定。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20．学院审定日期</w:t>
      </w:r>
    </w:p>
    <w:p w:rsidR="00071C1A" w:rsidRDefault="00071C1A" w:rsidP="00071C1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071C1A" w:rsidRDefault="00071C1A" w:rsidP="00071C1A">
      <w:pPr>
        <w:adjustRightInd w:val="0"/>
        <w:snapToGrid w:val="0"/>
        <w:rPr>
          <w:rFonts w:ascii="楷体_GB2312" w:eastAsia="楷体_GB2312" w:hAnsi="华文中宋" w:hint="eastAsia"/>
          <w:sz w:val="28"/>
          <w:szCs w:val="28"/>
        </w:rPr>
      </w:pPr>
    </w:p>
    <w:p w:rsidR="00071C1A" w:rsidRDefault="00071C1A" w:rsidP="00071C1A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071C1A" w:rsidRDefault="00071C1A" w:rsidP="00071C1A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071C1A" w:rsidRDefault="00071C1A" w:rsidP="00071C1A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071C1A" w:rsidRDefault="00071C1A" w:rsidP="00071C1A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071C1A" w:rsidRDefault="00071C1A" w:rsidP="00071C1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071C1A" w:rsidRDefault="00071C1A" w:rsidP="00071C1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基因工程学（732018）实验项目卡1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071C1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基因工程学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732018</w:t>
            </w:r>
          </w:p>
        </w:tc>
      </w:tr>
      <w:tr w:rsidR="00071C1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已知序列基因的克隆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73201801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32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djustRightInd w:val="0"/>
              <w:snapToGrid w:val="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掌握已知序列基因克隆的原理、流程及操作方法，包括目的基因的分离，与载体的连接，重组DNA的转化及重组子的鉴定。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PCR扩增目的基因、凝胶回收目的基因、限制性酶酶切目的基因、与载体片段的连接、转化大肠杆菌、提取质粒、筛选重组子。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重组DNA技术是用酶学方法，将不同来源的DNA分子在体外进行特异切割、重新连接，组成新的杂合DNA分子。这个杂合分子能够在一定的宿主细胞中进行扩增，形成大量的子代分子。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1.演示性□；2.验证性□；3.综合性□√；4.设计性□；5.研究性□。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PCR仪，电泳仪，台式离心机，低温高速离心机，超净工作台，凝胶成像仪，恒温水浴箱，制冰机，恒温培养箱，振荡培养箱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djustRightInd w:val="0"/>
              <w:snapToGrid w:val="0"/>
              <w:ind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200704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PCR引物（5OD），TaqDNA聚合酶（1支），dNTP（1支），凝胶回收试剂盒（2盒），质粒回收试剂盒（2盒），T4DNA连接酶（1支），BamHI（4支），NdeI（6支），荧光染料（1支），氨苄青霉素（1g）等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djustRightInd w:val="0"/>
              <w:snapToGrid w:val="0"/>
              <w:ind w:left="-90" w:firstLineChars="50" w:firstLine="120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380元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霍锐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魏景艳</w:t>
            </w:r>
          </w:p>
        </w:tc>
      </w:tr>
    </w:tbl>
    <w:p w:rsidR="00071C1A" w:rsidRDefault="00071C1A" w:rsidP="00071C1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071C1A" w:rsidRDefault="00071C1A" w:rsidP="00071C1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基因工程学（732018）实验项目卡2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071C1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基因工程学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732018</w:t>
            </w:r>
          </w:p>
        </w:tc>
      </w:tr>
      <w:tr w:rsidR="00071C1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目的蛋白的诱导表达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73201802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掌握pET 15b载体在大肠杆菌中诱导外源蛋白表达的原理及方法。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表达菌株的活化培养、表达菌接种、加入IPTG诱导表达目的蛋白、离心收集菌体。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T7噬菌体启动子的转录完全依赖于T7 RNA聚合酶，因此T7 RNA聚合酶的转录调控模式就决定了表达系统的调控方式。用噬菌体DE3的溶源菌作为表达载体的宿主菌，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可表达T7 RNA聚合酶</w:t>
            </w:r>
            <w:r>
              <w:rPr>
                <w:rFonts w:ascii="楷体" w:eastAsia="楷体" w:hAnsi="楷体" w:cs="宋体"/>
                <w:kern w:val="0"/>
                <w:sz w:val="24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加入IPTG可诱导目的基因的表达</w:t>
            </w:r>
            <w:r>
              <w:rPr>
                <w:rFonts w:ascii="楷体" w:eastAsia="楷体" w:hAnsi="楷体" w:cs="宋体"/>
                <w:kern w:val="0"/>
                <w:sz w:val="24"/>
              </w:rPr>
              <w:t>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1.演示性□；2.验证性□√；3.综合性□；4.设计性□；5.研究性□。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超净工作台，振荡培养箱，台式离心机，冷冻冰箱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djustRightInd w:val="0"/>
              <w:snapToGrid w:val="0"/>
              <w:ind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4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200704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胰蛋白胨（20g），酵母提取物（10g），IPTG（1g），氨苄青霉素（1g），除菌滤器（2个），一次性输液器（2个），1.5mlEP管（200个），200</w:t>
            </w:r>
            <w:r>
              <w:rPr>
                <w:rFonts w:ascii="楷体" w:eastAsia="楷体" w:hAnsi="宋体" w:cs="宋体" w:hint="eastAsia"/>
                <w:kern w:val="0"/>
                <w:sz w:val="24"/>
              </w:rPr>
              <w:t>µ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l枪头（1包），1ml枪头（1包），10</w:t>
            </w:r>
            <w:r>
              <w:rPr>
                <w:rFonts w:ascii="楷体" w:eastAsia="楷体" w:hAnsi="宋体" w:cs="宋体" w:hint="eastAsia"/>
                <w:kern w:val="0"/>
                <w:sz w:val="24"/>
              </w:rPr>
              <w:t>µ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l枪头（半包）等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65元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霍锐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魏景艳</w:t>
            </w:r>
          </w:p>
        </w:tc>
      </w:tr>
    </w:tbl>
    <w:p w:rsidR="00071C1A" w:rsidRDefault="00071C1A" w:rsidP="00071C1A">
      <w:pPr>
        <w:adjustRightInd w:val="0"/>
        <w:snapToGrid w:val="0"/>
        <w:spacing w:line="360" w:lineRule="auto"/>
        <w:jc w:val="center"/>
        <w:rPr>
          <w:rFonts w:eastAsia="黑体" w:hAnsi="Arial" w:hint="eastAsia"/>
          <w:b/>
          <w:sz w:val="36"/>
          <w:szCs w:val="36"/>
        </w:rPr>
      </w:pPr>
    </w:p>
    <w:p w:rsidR="00071C1A" w:rsidRDefault="00071C1A" w:rsidP="00071C1A">
      <w:pPr>
        <w:adjustRightInd w:val="0"/>
        <w:snapToGrid w:val="0"/>
        <w:spacing w:line="360" w:lineRule="auto"/>
        <w:jc w:val="center"/>
        <w:rPr>
          <w:rFonts w:eastAsia="黑体" w:hAnsi="Arial" w:hint="eastAsia"/>
          <w:b/>
          <w:sz w:val="36"/>
          <w:szCs w:val="36"/>
        </w:rPr>
      </w:pPr>
    </w:p>
    <w:p w:rsidR="00071C1A" w:rsidRDefault="00071C1A" w:rsidP="00071C1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071C1A" w:rsidRDefault="00071C1A" w:rsidP="00071C1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基因工程学（732018）实验项目卡3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071C1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基因工程学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732018</w:t>
            </w:r>
          </w:p>
        </w:tc>
      </w:tr>
      <w:tr w:rsidR="00071C1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SDS－聚丙烯酰胺凝胶电泳检测目的蛋白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73201803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0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8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必做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掌握SDS-聚丙烯酰胺凝胶电泳的原理及操作方法。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制备SDS-聚丙烯酰胺凝胶电泳胶、电泳样品处理、上样、电泳、染色、脱色及观察结果。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聚丙烯酰胺凝胶是由丙烯酰胺和交联试剂N,N’-甲叉双丙烯酰胺在引发剂和增速剂的催化下聚合而成的多孔介质，具有分子筛效应。SDS-蛋白质复合物在凝胶电泳中的迁移率，只受到蛋白质分子量的影响。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1.演示性□；2.验证性□√；3.综合性□；4.设计性□；5.研究性□。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本科生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迷你双垂直电泳仪(槽)，双稳电泳仪电源，电磁炉，凝胶成像仪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djustRightInd w:val="0"/>
              <w:snapToGrid w:val="0"/>
              <w:ind w:left="-9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4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200704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药学院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73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生物工程（医学）实验中心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133103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生物工程（医学）实验中心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药学院207室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丙烯酰胺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50g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，甲叉双丙烯酰胺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5g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，SDS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10g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，TEMED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1ml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，Tris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100g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，过硫酸铵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5g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，低分子量蛋白marker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1支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，考马斯亮蓝R250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1g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，2-巯基乙醇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5ml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</w:t>
            </w:r>
            <w:r>
              <w:rPr>
                <w:rFonts w:ascii="楷体" w:eastAsia="楷体" w:hAnsi="楷体"/>
                <w:kern w:val="0"/>
                <w:sz w:val="24"/>
              </w:rPr>
              <w:t>，溴酚蓝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（</w:t>
            </w:r>
            <w:r>
              <w:rPr>
                <w:rFonts w:ascii="楷体" w:eastAsia="楷体" w:hAnsi="楷体"/>
                <w:kern w:val="0"/>
                <w:sz w:val="24"/>
              </w:rPr>
              <w:t>1g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）等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djustRightInd w:val="0"/>
              <w:snapToGrid w:val="0"/>
              <w:ind w:left="-90" w:firstLineChars="50" w:firstLine="12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85</w:t>
            </w:r>
            <w:r>
              <w:rPr>
                <w:rFonts w:ascii="楷体" w:eastAsia="楷体" w:hAnsi="楷体"/>
                <w:sz w:val="24"/>
              </w:rPr>
              <w:t>元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生物医学工程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解桂秋</w:t>
            </w:r>
          </w:p>
        </w:tc>
      </w:tr>
      <w:tr w:rsidR="00071C1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1A" w:rsidRDefault="00071C1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霍锐</w:t>
            </w:r>
          </w:p>
        </w:tc>
      </w:tr>
    </w:tbl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C1A"/>
    <w:rsid w:val="00071C1A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71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1C1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2016-02-01T03:13:00Z</dcterms:created>
  <dcterms:modified xsi:type="dcterms:W3CDTF">2016-02-01T03:14:00Z</dcterms:modified>
</cp:coreProperties>
</file>