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E5F" w:rsidRDefault="006D6E5F" w:rsidP="006D6E5F">
      <w:pPr>
        <w:pStyle w:val="1"/>
        <w:spacing w:before="156" w:after="156" w:line="400" w:lineRule="exact"/>
        <w:jc w:val="center"/>
        <w:rPr>
          <w:rFonts w:ascii="楷体" w:eastAsia="楷体" w:hAnsi="楷体"/>
          <w:color w:val="000000"/>
          <w:sz w:val="32"/>
          <w:szCs w:val="32"/>
        </w:rPr>
      </w:pPr>
      <w:r>
        <w:rPr>
          <w:rFonts w:ascii="楷体" w:eastAsia="楷体" w:hAnsi="楷体" w:hint="eastAsia"/>
          <w:color w:val="000000"/>
          <w:sz w:val="32"/>
          <w:szCs w:val="32"/>
        </w:rPr>
        <w:t>药物分析学I（732005）实验教学大纲</w:t>
      </w:r>
    </w:p>
    <w:p w:rsidR="006D6E5F" w:rsidRDefault="006D6E5F" w:rsidP="006D6E5F">
      <w:pPr>
        <w:overflowPunct w:val="0"/>
        <w:autoSpaceDE w:val="0"/>
        <w:autoSpaceDN w:val="0"/>
        <w:adjustRightInd w:val="0"/>
        <w:snapToGrid w:val="0"/>
        <w:spacing w:line="320" w:lineRule="exact"/>
        <w:ind w:firstLineChars="198" w:firstLine="477"/>
        <w:rPr>
          <w:rFonts w:ascii="楷体_GB2312" w:eastAsia="楷体_GB2312"/>
          <w:color w:val="000000"/>
          <w:sz w:val="24"/>
        </w:rPr>
      </w:pPr>
      <w:r>
        <w:rPr>
          <w:rFonts w:ascii="楷体_GB2312" w:eastAsia="楷体_GB2312" w:hint="eastAsia"/>
          <w:b/>
          <w:color w:val="000000"/>
          <w:sz w:val="24"/>
        </w:rPr>
        <w:t>01.教学单位：</w:t>
      </w:r>
      <w:r>
        <w:rPr>
          <w:rFonts w:ascii="楷体_GB2312" w:eastAsia="楷体_GB2312" w:hint="eastAsia"/>
          <w:color w:val="000000"/>
          <w:sz w:val="24"/>
        </w:rPr>
        <w:t>药学院</w:t>
      </w:r>
    </w:p>
    <w:p w:rsidR="006D6E5F" w:rsidRDefault="006D6E5F" w:rsidP="006D6E5F">
      <w:pPr>
        <w:overflowPunct w:val="0"/>
        <w:autoSpaceDE w:val="0"/>
        <w:autoSpaceDN w:val="0"/>
        <w:adjustRightInd w:val="0"/>
        <w:snapToGrid w:val="0"/>
        <w:spacing w:line="320" w:lineRule="exact"/>
        <w:ind w:firstLineChars="198" w:firstLine="477"/>
        <w:rPr>
          <w:rFonts w:ascii="楷体_GB2312" w:eastAsia="楷体_GB2312"/>
          <w:color w:val="000000"/>
          <w:sz w:val="24"/>
        </w:rPr>
      </w:pPr>
      <w:r>
        <w:rPr>
          <w:rFonts w:ascii="楷体_GB2312" w:eastAsia="楷体_GB2312" w:hint="eastAsia"/>
          <w:b/>
          <w:color w:val="000000"/>
          <w:sz w:val="24"/>
        </w:rPr>
        <w:t>02.实验中心：</w:t>
      </w:r>
      <w:r>
        <w:rPr>
          <w:rFonts w:ascii="楷体_GB2312" w:eastAsia="楷体_GB2312" w:hint="eastAsia"/>
          <w:color w:val="000000"/>
          <w:sz w:val="24"/>
        </w:rPr>
        <w:t>药学实验中心</w:t>
      </w:r>
    </w:p>
    <w:p w:rsidR="006D6E5F" w:rsidRDefault="006D6E5F" w:rsidP="006D6E5F">
      <w:pPr>
        <w:overflowPunct w:val="0"/>
        <w:autoSpaceDE w:val="0"/>
        <w:autoSpaceDN w:val="0"/>
        <w:adjustRightInd w:val="0"/>
        <w:snapToGrid w:val="0"/>
        <w:spacing w:line="320" w:lineRule="exact"/>
        <w:ind w:firstLineChars="198" w:firstLine="477"/>
        <w:rPr>
          <w:rFonts w:ascii="楷体_GB2312" w:eastAsia="楷体_GB2312"/>
          <w:color w:val="000000"/>
          <w:sz w:val="24"/>
        </w:rPr>
      </w:pPr>
      <w:r>
        <w:rPr>
          <w:rFonts w:ascii="楷体_GB2312" w:eastAsia="楷体_GB2312" w:hint="eastAsia"/>
          <w:b/>
          <w:color w:val="000000"/>
          <w:sz w:val="24"/>
        </w:rPr>
        <w:t>03.课程名称：</w:t>
      </w:r>
      <w:r>
        <w:rPr>
          <w:rFonts w:ascii="楷体_GB2312" w:eastAsia="楷体_GB2312" w:hint="eastAsia"/>
          <w:color w:val="000000"/>
          <w:sz w:val="24"/>
        </w:rPr>
        <w:t>药物分析学I</w:t>
      </w:r>
    </w:p>
    <w:p w:rsidR="006D6E5F" w:rsidRDefault="006D6E5F" w:rsidP="006D6E5F">
      <w:pPr>
        <w:overflowPunct w:val="0"/>
        <w:autoSpaceDE w:val="0"/>
        <w:autoSpaceDN w:val="0"/>
        <w:adjustRightInd w:val="0"/>
        <w:snapToGrid w:val="0"/>
        <w:spacing w:line="320" w:lineRule="exact"/>
        <w:ind w:firstLineChars="198" w:firstLine="477"/>
        <w:rPr>
          <w:rFonts w:ascii="楷体_GB2312" w:eastAsia="楷体_GB2312"/>
          <w:color w:val="000000"/>
          <w:sz w:val="24"/>
        </w:rPr>
      </w:pPr>
      <w:r>
        <w:rPr>
          <w:rFonts w:ascii="楷体_GB2312" w:eastAsia="楷体_GB2312" w:hint="eastAsia"/>
          <w:b/>
          <w:color w:val="000000"/>
          <w:sz w:val="24"/>
        </w:rPr>
        <w:t>04.课程代码：</w:t>
      </w:r>
      <w:r>
        <w:rPr>
          <w:rFonts w:ascii="楷体_GB2312" w:eastAsia="楷体_GB2312" w:hint="eastAsia"/>
          <w:color w:val="000000"/>
          <w:sz w:val="24"/>
        </w:rPr>
        <w:t>732005</w:t>
      </w:r>
    </w:p>
    <w:p w:rsidR="006D6E5F" w:rsidRDefault="006D6E5F" w:rsidP="006D6E5F">
      <w:pPr>
        <w:overflowPunct w:val="0"/>
        <w:autoSpaceDE w:val="0"/>
        <w:autoSpaceDN w:val="0"/>
        <w:adjustRightInd w:val="0"/>
        <w:snapToGrid w:val="0"/>
        <w:spacing w:line="320" w:lineRule="exact"/>
        <w:rPr>
          <w:rFonts w:ascii="楷体_GB2312" w:eastAsia="楷体_GB2312" w:hint="eastAsia"/>
          <w:color w:val="000000"/>
          <w:sz w:val="24"/>
        </w:rPr>
      </w:pPr>
      <w:r>
        <w:rPr>
          <w:rFonts w:ascii="楷体_GB2312" w:eastAsia="楷体_GB2312" w:hint="eastAsia"/>
          <w:color w:val="000000"/>
          <w:sz w:val="24"/>
        </w:rPr>
        <w:t xml:space="preserve">  </w:t>
      </w:r>
      <w:r>
        <w:rPr>
          <w:rFonts w:ascii="楷体_GB2312" w:eastAsia="楷体_GB2312" w:hint="eastAsia"/>
          <w:b/>
          <w:color w:val="000000"/>
          <w:sz w:val="24"/>
        </w:rPr>
        <w:t xml:space="preserve">  05.课程类别：</w:t>
      </w:r>
      <w:r>
        <w:rPr>
          <w:rFonts w:ascii="楷体_GB2312" w:eastAsia="楷体_GB2312" w:hint="eastAsia"/>
          <w:color w:val="000000"/>
          <w:sz w:val="24"/>
        </w:rPr>
        <w:t>专业课</w:t>
      </w:r>
    </w:p>
    <w:p w:rsidR="006D6E5F" w:rsidRDefault="006D6E5F" w:rsidP="006D6E5F">
      <w:pPr>
        <w:overflowPunct w:val="0"/>
        <w:autoSpaceDE w:val="0"/>
        <w:autoSpaceDN w:val="0"/>
        <w:adjustRightInd w:val="0"/>
        <w:snapToGrid w:val="0"/>
        <w:spacing w:line="320" w:lineRule="exact"/>
        <w:ind w:firstLineChars="200" w:firstLine="482"/>
        <w:rPr>
          <w:rFonts w:ascii="楷体_GB2312" w:eastAsia="楷体_GB2312" w:hint="eastAsia"/>
          <w:color w:val="000000"/>
          <w:sz w:val="24"/>
        </w:rPr>
      </w:pPr>
      <w:r>
        <w:rPr>
          <w:rFonts w:ascii="楷体_GB2312" w:eastAsia="楷体_GB2312" w:hint="eastAsia"/>
          <w:b/>
          <w:color w:val="000000"/>
          <w:sz w:val="24"/>
        </w:rPr>
        <w:t>06.课程性质：</w:t>
      </w:r>
      <w:r>
        <w:rPr>
          <w:rFonts w:ascii="楷体_GB2312" w:eastAsia="楷体_GB2312" w:hint="eastAsia"/>
          <w:color w:val="000000"/>
          <w:sz w:val="24"/>
        </w:rPr>
        <w:t>必修</w:t>
      </w:r>
    </w:p>
    <w:p w:rsidR="006D6E5F" w:rsidRDefault="006D6E5F" w:rsidP="006D6E5F">
      <w:pPr>
        <w:overflowPunct w:val="0"/>
        <w:autoSpaceDE w:val="0"/>
        <w:autoSpaceDN w:val="0"/>
        <w:adjustRightInd w:val="0"/>
        <w:snapToGrid w:val="0"/>
        <w:spacing w:line="320" w:lineRule="exact"/>
        <w:rPr>
          <w:rFonts w:ascii="楷体_GB2312" w:eastAsia="楷体_GB2312"/>
          <w:color w:val="000000"/>
          <w:sz w:val="24"/>
        </w:rPr>
      </w:pPr>
      <w:r>
        <w:rPr>
          <w:rFonts w:ascii="楷体_GB2312" w:eastAsia="楷体_GB2312" w:hint="eastAsia"/>
          <w:color w:val="000000"/>
          <w:sz w:val="24"/>
        </w:rPr>
        <w:t xml:space="preserve">    </w:t>
      </w:r>
      <w:r>
        <w:rPr>
          <w:rFonts w:ascii="楷体_GB2312" w:eastAsia="楷体_GB2312" w:hint="eastAsia"/>
          <w:b/>
          <w:color w:val="000000"/>
          <w:sz w:val="24"/>
        </w:rPr>
        <w:t>07.课程学时：</w:t>
      </w:r>
      <w:r>
        <w:rPr>
          <w:rFonts w:ascii="楷体_GB2312" w:eastAsia="楷体_GB2312" w:hint="eastAsia"/>
          <w:color w:val="000000"/>
          <w:sz w:val="24"/>
        </w:rPr>
        <w:t>54学时，其中含实验 30学时</w:t>
      </w:r>
    </w:p>
    <w:p w:rsidR="006D6E5F" w:rsidRDefault="006D6E5F" w:rsidP="006D6E5F">
      <w:pPr>
        <w:overflowPunct w:val="0"/>
        <w:autoSpaceDE w:val="0"/>
        <w:autoSpaceDN w:val="0"/>
        <w:adjustRightInd w:val="0"/>
        <w:snapToGrid w:val="0"/>
        <w:spacing w:line="320" w:lineRule="exact"/>
        <w:rPr>
          <w:rFonts w:ascii="楷体_GB2312" w:eastAsia="楷体_GB2312"/>
          <w:color w:val="000000"/>
          <w:sz w:val="24"/>
        </w:rPr>
      </w:pPr>
      <w:r>
        <w:rPr>
          <w:rFonts w:ascii="楷体_GB2312" w:eastAsia="楷体_GB2312" w:hint="eastAsia"/>
          <w:color w:val="000000"/>
          <w:sz w:val="24"/>
        </w:rPr>
        <w:t xml:space="preserve">    </w:t>
      </w:r>
      <w:r>
        <w:rPr>
          <w:rFonts w:ascii="楷体_GB2312" w:eastAsia="楷体_GB2312" w:hint="eastAsia"/>
          <w:b/>
          <w:color w:val="000000"/>
          <w:sz w:val="24"/>
        </w:rPr>
        <w:t>08.课程学分：</w:t>
      </w:r>
      <w:r>
        <w:rPr>
          <w:rFonts w:ascii="楷体_GB2312" w:eastAsia="楷体_GB2312" w:hint="eastAsia"/>
          <w:color w:val="000000"/>
          <w:sz w:val="24"/>
        </w:rPr>
        <w:t>2.5</w:t>
      </w:r>
    </w:p>
    <w:p w:rsidR="006D6E5F" w:rsidRDefault="006D6E5F" w:rsidP="006D6E5F">
      <w:pPr>
        <w:overflowPunct w:val="0"/>
        <w:autoSpaceDE w:val="0"/>
        <w:autoSpaceDN w:val="0"/>
        <w:adjustRightInd w:val="0"/>
        <w:snapToGrid w:val="0"/>
        <w:spacing w:line="320" w:lineRule="exact"/>
        <w:rPr>
          <w:rFonts w:ascii="楷体_GB2312" w:eastAsia="楷体_GB2312"/>
          <w:color w:val="000000"/>
          <w:sz w:val="24"/>
        </w:rPr>
      </w:pPr>
      <w:r>
        <w:rPr>
          <w:rFonts w:ascii="楷体_GB2312" w:eastAsia="楷体_GB2312" w:hint="eastAsia"/>
          <w:color w:val="000000"/>
          <w:sz w:val="24"/>
        </w:rPr>
        <w:t xml:space="preserve">    </w:t>
      </w:r>
      <w:r>
        <w:rPr>
          <w:rFonts w:ascii="楷体_GB2312" w:eastAsia="楷体_GB2312" w:hint="eastAsia"/>
          <w:b/>
          <w:color w:val="000000"/>
          <w:sz w:val="24"/>
        </w:rPr>
        <w:t>09.面向专业：</w:t>
      </w:r>
      <w:r>
        <w:rPr>
          <w:rFonts w:ascii="楷体_GB2312" w:eastAsia="楷体_GB2312" w:hint="eastAsia"/>
          <w:color w:val="000000"/>
          <w:sz w:val="24"/>
        </w:rPr>
        <w:t>药学院药学专业各个方向</w:t>
      </w:r>
    </w:p>
    <w:p w:rsidR="006D6E5F" w:rsidRDefault="006D6E5F" w:rsidP="006D6E5F">
      <w:pPr>
        <w:overflowPunct w:val="0"/>
        <w:autoSpaceDE w:val="0"/>
        <w:autoSpaceDN w:val="0"/>
        <w:adjustRightInd w:val="0"/>
        <w:snapToGrid w:val="0"/>
        <w:spacing w:line="320" w:lineRule="exact"/>
        <w:rPr>
          <w:rFonts w:ascii="楷体_GB2312" w:eastAsia="楷体_GB2312"/>
          <w:b/>
          <w:color w:val="000000"/>
          <w:sz w:val="24"/>
        </w:rPr>
      </w:pPr>
      <w:r>
        <w:rPr>
          <w:rFonts w:ascii="楷体_GB2312" w:eastAsia="楷体_GB2312" w:hint="eastAsia"/>
          <w:color w:val="000000"/>
          <w:sz w:val="24"/>
        </w:rPr>
        <w:t xml:space="preserve">  </w:t>
      </w:r>
      <w:r>
        <w:rPr>
          <w:rFonts w:ascii="楷体_GB2312" w:eastAsia="楷体_GB2312" w:hint="eastAsia"/>
          <w:b/>
          <w:color w:val="000000"/>
          <w:sz w:val="24"/>
        </w:rPr>
        <w:t xml:space="preserve">  10.实验课程的教学任务、要求和教学目的</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hint="eastAsia"/>
          <w:color w:val="000000"/>
          <w:sz w:val="24"/>
        </w:rPr>
      </w:pPr>
      <w:r>
        <w:rPr>
          <w:rFonts w:ascii="楷体_GB2312" w:eastAsia="楷体_GB2312" w:hint="eastAsia"/>
          <w:color w:val="000000"/>
          <w:sz w:val="24"/>
        </w:rPr>
        <w:t>通过药物分析I实验课教学，旨在培养学生树立起全面控制药品质量的概念，熟练的分析操作技能，获得完整的药品质量控制方法，理论联系实际的学风和严谨的科学态度。并通过基本操作训练，获得较强的从事药品质量控制工作的能力，正确掌握药物常用法定方法及规范化操作技术。掌握药品质量标准所收载的典型药物及制剂的鉴别、检查、含量测定方法、操作要领、结果计算和检验报告的书写。</w:t>
      </w:r>
    </w:p>
    <w:p w:rsidR="006D6E5F" w:rsidRDefault="006D6E5F" w:rsidP="006D6E5F">
      <w:pPr>
        <w:overflowPunct w:val="0"/>
        <w:autoSpaceDE w:val="0"/>
        <w:autoSpaceDN w:val="0"/>
        <w:adjustRightInd w:val="0"/>
        <w:snapToGrid w:val="0"/>
        <w:spacing w:line="320" w:lineRule="exact"/>
        <w:ind w:firstLineChars="198" w:firstLine="477"/>
        <w:rPr>
          <w:rFonts w:ascii="楷体_GB2312" w:eastAsia="楷体_GB2312"/>
          <w:b/>
          <w:color w:val="000000"/>
          <w:sz w:val="24"/>
        </w:rPr>
      </w:pPr>
      <w:r>
        <w:rPr>
          <w:rFonts w:ascii="楷体_GB2312" w:eastAsia="楷体_GB2312" w:hint="eastAsia"/>
          <w:b/>
          <w:color w:val="000000"/>
          <w:sz w:val="24"/>
        </w:rPr>
        <w:t>11.学生应掌握的实验技术及实验能力</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color w:val="000000"/>
          <w:sz w:val="24"/>
        </w:rPr>
      </w:pPr>
      <w:r>
        <w:rPr>
          <w:rFonts w:ascii="楷体_GB2312" w:eastAsia="楷体_GB2312" w:hint="eastAsia"/>
          <w:color w:val="000000"/>
          <w:sz w:val="24"/>
        </w:rPr>
        <w:t>通过本课程的学习，使学生达到下列要求：</w:t>
      </w:r>
      <w:r>
        <w:rPr>
          <w:rFonts w:ascii="楷体_GB2312" w:eastAsia="楷体_GB2312"/>
          <w:color w:val="000000"/>
          <w:sz w:val="24"/>
        </w:rPr>
        <w:t xml:space="preserve"> </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color w:val="000000"/>
          <w:sz w:val="24"/>
        </w:rPr>
      </w:pPr>
      <w:r>
        <w:rPr>
          <w:rFonts w:ascii="楷体_GB2312" w:eastAsia="楷体_GB2312" w:hint="eastAsia"/>
          <w:color w:val="000000"/>
          <w:sz w:val="24"/>
        </w:rPr>
        <w:t>⑴</w:t>
      </w:r>
      <w:r>
        <w:rPr>
          <w:rFonts w:ascii="楷体_GB2312" w:eastAsia="楷体_GB2312"/>
          <w:color w:val="000000"/>
          <w:sz w:val="24"/>
        </w:rPr>
        <w:t>掌握药物的鉴别、检查、含量测定的原理和常用方法；</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color w:val="000000"/>
          <w:sz w:val="24"/>
        </w:rPr>
      </w:pPr>
      <w:r>
        <w:rPr>
          <w:rFonts w:ascii="楷体_GB2312" w:eastAsia="楷体_GB2312" w:hint="eastAsia"/>
          <w:color w:val="000000"/>
          <w:sz w:val="24"/>
        </w:rPr>
        <w:t>⑵</w:t>
      </w:r>
      <w:r>
        <w:rPr>
          <w:rFonts w:ascii="楷体_GB2312" w:eastAsia="楷体_GB2312"/>
          <w:color w:val="000000"/>
          <w:sz w:val="24"/>
        </w:rPr>
        <w:t>掌握常规容量分析和仪器分析（原子分光光度计</w:t>
      </w:r>
      <w:r>
        <w:rPr>
          <w:rFonts w:ascii="楷体_GB2312" w:eastAsia="楷体_GB2312" w:hint="eastAsia"/>
          <w:color w:val="000000"/>
          <w:sz w:val="24"/>
        </w:rPr>
        <w:t>、紫外可见分光光度计等</w:t>
      </w:r>
      <w:r>
        <w:rPr>
          <w:rFonts w:ascii="楷体_GB2312" w:eastAsia="楷体_GB2312"/>
          <w:color w:val="000000"/>
          <w:sz w:val="24"/>
        </w:rPr>
        <w:t>）技术</w:t>
      </w:r>
      <w:r>
        <w:rPr>
          <w:rFonts w:ascii="楷体_GB2312" w:eastAsia="楷体_GB2312" w:hint="eastAsia"/>
          <w:color w:val="000000"/>
          <w:sz w:val="24"/>
        </w:rPr>
        <w:t>；</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color w:val="000000"/>
          <w:sz w:val="24"/>
        </w:rPr>
      </w:pPr>
      <w:r>
        <w:rPr>
          <w:rFonts w:ascii="楷体_GB2312" w:eastAsia="楷体_GB2312" w:hint="eastAsia"/>
          <w:color w:val="000000"/>
          <w:sz w:val="24"/>
        </w:rPr>
        <w:t>⑶</w:t>
      </w:r>
      <w:r>
        <w:rPr>
          <w:rFonts w:ascii="楷体_GB2312" w:eastAsia="楷体_GB2312"/>
          <w:color w:val="000000"/>
          <w:sz w:val="24"/>
        </w:rPr>
        <w:t>掌握杂质限量和药物含量的计算方法和检验报告的书写</w:t>
      </w:r>
      <w:r>
        <w:rPr>
          <w:rFonts w:ascii="楷体_GB2312" w:eastAsia="楷体_GB2312" w:hint="eastAsia"/>
          <w:color w:val="000000"/>
          <w:sz w:val="24"/>
        </w:rPr>
        <w:t>。</w:t>
      </w:r>
      <w:r>
        <w:rPr>
          <w:rFonts w:ascii="楷体_GB2312" w:eastAsia="楷体_GB2312"/>
          <w:color w:val="000000"/>
          <w:sz w:val="24"/>
        </w:rPr>
        <w:t xml:space="preserve"> </w:t>
      </w:r>
    </w:p>
    <w:p w:rsidR="006D6E5F" w:rsidRDefault="006D6E5F" w:rsidP="006D6E5F">
      <w:pPr>
        <w:overflowPunct w:val="0"/>
        <w:autoSpaceDE w:val="0"/>
        <w:autoSpaceDN w:val="0"/>
        <w:adjustRightInd w:val="0"/>
        <w:snapToGrid w:val="0"/>
        <w:spacing w:line="320" w:lineRule="exact"/>
        <w:ind w:firstLineChars="198" w:firstLine="477"/>
        <w:rPr>
          <w:rFonts w:ascii="楷体_GB2312" w:eastAsia="楷体_GB2312"/>
          <w:b/>
          <w:color w:val="000000"/>
          <w:sz w:val="24"/>
        </w:rPr>
      </w:pPr>
      <w:r>
        <w:rPr>
          <w:rFonts w:ascii="楷体_GB2312" w:eastAsia="楷体_GB2312" w:hint="eastAsia"/>
          <w:b/>
          <w:color w:val="000000"/>
          <w:sz w:val="24"/>
        </w:rPr>
        <w:t>12.开设实验项目</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hint="eastAsia"/>
          <w:color w:val="000000"/>
          <w:sz w:val="24"/>
        </w:rPr>
      </w:pPr>
      <w:r>
        <w:rPr>
          <w:rFonts w:ascii="楷体_GB2312" w:eastAsia="楷体_GB2312" w:hint="eastAsia"/>
          <w:color w:val="000000"/>
          <w:sz w:val="24"/>
        </w:rPr>
        <w:t>针对药物分析教学任务及教学目的，具体开设了药用葡萄糖杂质检查、药物中特殊杂质检查、原子吸收分光光度法检查</w:t>
      </w:r>
      <w:proofErr w:type="spellStart"/>
      <w:r>
        <w:rPr>
          <w:rFonts w:ascii="楷体_GB2312" w:eastAsia="楷体_GB2312" w:hint="eastAsia"/>
          <w:color w:val="000000"/>
          <w:sz w:val="24"/>
        </w:rPr>
        <w:t>Vc</w:t>
      </w:r>
      <w:proofErr w:type="spellEnd"/>
      <w:r>
        <w:rPr>
          <w:rFonts w:ascii="楷体_GB2312" w:eastAsia="楷体_GB2312" w:hint="eastAsia"/>
          <w:color w:val="000000"/>
          <w:sz w:val="24"/>
        </w:rPr>
        <w:t>中铁和铜离子含量、肌苷的质量分析等实验项目。</w:t>
      </w:r>
    </w:p>
    <w:p w:rsidR="006D6E5F" w:rsidRDefault="006D6E5F" w:rsidP="006D6E5F">
      <w:pPr>
        <w:overflowPunct w:val="0"/>
        <w:autoSpaceDE w:val="0"/>
        <w:autoSpaceDN w:val="0"/>
        <w:adjustRightInd w:val="0"/>
        <w:snapToGrid w:val="0"/>
        <w:spacing w:line="320" w:lineRule="exact"/>
        <w:ind w:firstLineChars="200" w:firstLine="480"/>
        <w:jc w:val="center"/>
        <w:rPr>
          <w:rFonts w:ascii="楷体" w:eastAsia="楷体" w:hAnsi="楷体" w:hint="eastAsia"/>
          <w:bCs/>
          <w:color w:val="000000"/>
          <w:kern w:val="44"/>
          <w:sz w:val="24"/>
        </w:rPr>
      </w:pPr>
      <w:r>
        <w:rPr>
          <w:rFonts w:ascii="楷体" w:eastAsia="楷体" w:hAnsi="楷体" w:hint="eastAsia"/>
          <w:bCs/>
          <w:color w:val="000000"/>
          <w:kern w:val="44"/>
          <w:sz w:val="24"/>
        </w:rPr>
        <w:t>开设实验项目一览表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547"/>
        <w:gridCol w:w="1134"/>
        <w:gridCol w:w="1134"/>
        <w:gridCol w:w="1134"/>
        <w:gridCol w:w="1134"/>
        <w:gridCol w:w="1017"/>
      </w:tblGrid>
      <w:tr w:rsidR="006D6E5F" w:rsidTr="0063328B">
        <w:trPr>
          <w:jc w:val="center"/>
        </w:trPr>
        <w:tc>
          <w:tcPr>
            <w:tcW w:w="1080" w:type="dxa"/>
            <w:vAlign w:val="center"/>
          </w:tcPr>
          <w:p w:rsidR="006D6E5F" w:rsidRDefault="006D6E5F" w:rsidP="0063328B">
            <w:pPr>
              <w:adjustRightInd w:val="0"/>
              <w:snapToGrid w:val="0"/>
              <w:spacing w:line="320" w:lineRule="exact"/>
              <w:jc w:val="center"/>
              <w:rPr>
                <w:rFonts w:ascii="仿宋" w:eastAsia="仿宋" w:hAnsi="仿宋" w:hint="eastAsia"/>
              </w:rPr>
            </w:pPr>
            <w:r>
              <w:rPr>
                <w:rFonts w:ascii="仿宋" w:eastAsia="仿宋" w:hAnsi="仿宋" w:hint="eastAsia"/>
              </w:rPr>
              <w:t>实验项目</w:t>
            </w:r>
          </w:p>
          <w:p w:rsidR="006D6E5F" w:rsidRDefault="006D6E5F" w:rsidP="0063328B">
            <w:pPr>
              <w:adjustRightInd w:val="0"/>
              <w:snapToGrid w:val="0"/>
              <w:spacing w:line="320" w:lineRule="exact"/>
              <w:jc w:val="center"/>
              <w:rPr>
                <w:rFonts w:ascii="仿宋" w:eastAsia="仿宋" w:hAnsi="仿宋" w:hint="eastAsia"/>
              </w:rPr>
            </w:pPr>
            <w:r>
              <w:rPr>
                <w:rFonts w:ascii="仿宋" w:eastAsia="仿宋" w:hAnsi="仿宋" w:hint="eastAsia"/>
              </w:rPr>
              <w:t>编号</w:t>
            </w:r>
          </w:p>
        </w:tc>
        <w:tc>
          <w:tcPr>
            <w:tcW w:w="2547" w:type="dxa"/>
            <w:vAlign w:val="center"/>
          </w:tcPr>
          <w:p w:rsidR="006D6E5F" w:rsidRDefault="006D6E5F" w:rsidP="0063328B">
            <w:pPr>
              <w:adjustRightInd w:val="0"/>
              <w:snapToGrid w:val="0"/>
              <w:spacing w:line="320" w:lineRule="exact"/>
              <w:jc w:val="center"/>
              <w:rPr>
                <w:rFonts w:ascii="仿宋" w:eastAsia="仿宋" w:hAnsi="仿宋" w:hint="eastAsia"/>
              </w:rPr>
            </w:pPr>
            <w:r>
              <w:rPr>
                <w:rFonts w:ascii="仿宋" w:eastAsia="仿宋" w:hAnsi="仿宋" w:hint="eastAsia"/>
              </w:rPr>
              <w:t>实验项目名称</w:t>
            </w:r>
          </w:p>
        </w:tc>
        <w:tc>
          <w:tcPr>
            <w:tcW w:w="1134" w:type="dxa"/>
            <w:vAlign w:val="center"/>
          </w:tcPr>
          <w:p w:rsidR="006D6E5F" w:rsidRDefault="006D6E5F" w:rsidP="0063328B">
            <w:pPr>
              <w:adjustRightInd w:val="0"/>
              <w:snapToGrid w:val="0"/>
              <w:spacing w:line="320" w:lineRule="exact"/>
              <w:jc w:val="center"/>
              <w:rPr>
                <w:rFonts w:ascii="仿宋" w:eastAsia="仿宋" w:hAnsi="仿宋" w:hint="eastAsia"/>
              </w:rPr>
            </w:pPr>
            <w:r>
              <w:rPr>
                <w:rFonts w:ascii="仿宋" w:eastAsia="仿宋" w:hAnsi="仿宋" w:hint="eastAsia"/>
              </w:rPr>
              <w:t>实验类型</w:t>
            </w:r>
          </w:p>
        </w:tc>
        <w:tc>
          <w:tcPr>
            <w:tcW w:w="1134" w:type="dxa"/>
            <w:vAlign w:val="center"/>
          </w:tcPr>
          <w:p w:rsidR="006D6E5F" w:rsidRDefault="006D6E5F" w:rsidP="0063328B">
            <w:pPr>
              <w:adjustRightInd w:val="0"/>
              <w:snapToGrid w:val="0"/>
              <w:spacing w:line="320" w:lineRule="exact"/>
              <w:jc w:val="center"/>
              <w:rPr>
                <w:rFonts w:ascii="仿宋" w:eastAsia="仿宋" w:hAnsi="仿宋" w:hint="eastAsia"/>
              </w:rPr>
            </w:pPr>
            <w:r>
              <w:rPr>
                <w:rFonts w:ascii="仿宋" w:eastAsia="仿宋" w:hAnsi="仿宋" w:hint="eastAsia"/>
              </w:rPr>
              <w:t>实验性质</w:t>
            </w:r>
          </w:p>
        </w:tc>
        <w:tc>
          <w:tcPr>
            <w:tcW w:w="1134" w:type="dxa"/>
            <w:vAlign w:val="center"/>
          </w:tcPr>
          <w:p w:rsidR="006D6E5F" w:rsidRDefault="006D6E5F" w:rsidP="0063328B">
            <w:pPr>
              <w:adjustRightInd w:val="0"/>
              <w:snapToGrid w:val="0"/>
              <w:spacing w:line="320" w:lineRule="exact"/>
              <w:jc w:val="center"/>
              <w:rPr>
                <w:rFonts w:ascii="仿宋" w:eastAsia="仿宋" w:hAnsi="仿宋" w:hint="eastAsia"/>
              </w:rPr>
            </w:pPr>
            <w:r>
              <w:rPr>
                <w:rFonts w:ascii="仿宋" w:eastAsia="仿宋" w:hAnsi="仿宋" w:hint="eastAsia"/>
              </w:rPr>
              <w:t>实验学时</w:t>
            </w:r>
          </w:p>
        </w:tc>
        <w:tc>
          <w:tcPr>
            <w:tcW w:w="1134" w:type="dxa"/>
            <w:vAlign w:val="center"/>
          </w:tcPr>
          <w:p w:rsidR="006D6E5F" w:rsidRDefault="006D6E5F" w:rsidP="0063328B">
            <w:pPr>
              <w:adjustRightInd w:val="0"/>
              <w:snapToGrid w:val="0"/>
              <w:spacing w:line="320" w:lineRule="exact"/>
              <w:jc w:val="center"/>
              <w:rPr>
                <w:rFonts w:ascii="仿宋" w:eastAsia="仿宋" w:hAnsi="仿宋" w:hint="eastAsia"/>
              </w:rPr>
            </w:pPr>
            <w:r>
              <w:rPr>
                <w:rFonts w:ascii="仿宋" w:eastAsia="仿宋" w:hAnsi="仿宋" w:hint="eastAsia"/>
              </w:rPr>
              <w:t>每组人数</w:t>
            </w:r>
          </w:p>
        </w:tc>
        <w:tc>
          <w:tcPr>
            <w:tcW w:w="1017" w:type="dxa"/>
            <w:vAlign w:val="center"/>
          </w:tcPr>
          <w:p w:rsidR="006D6E5F" w:rsidRDefault="006D6E5F" w:rsidP="0063328B">
            <w:pPr>
              <w:adjustRightInd w:val="0"/>
              <w:snapToGrid w:val="0"/>
              <w:spacing w:line="320" w:lineRule="exact"/>
              <w:jc w:val="center"/>
              <w:rPr>
                <w:rFonts w:ascii="仿宋" w:eastAsia="仿宋" w:hAnsi="仿宋" w:hint="eastAsia"/>
              </w:rPr>
            </w:pPr>
            <w:r>
              <w:rPr>
                <w:rFonts w:ascii="仿宋" w:eastAsia="仿宋" w:hAnsi="仿宋" w:hint="eastAsia"/>
              </w:rPr>
              <w:t>首次开出年月</w:t>
            </w:r>
          </w:p>
        </w:tc>
      </w:tr>
      <w:tr w:rsidR="006D6E5F" w:rsidTr="0063328B">
        <w:trPr>
          <w:trHeight w:val="372"/>
          <w:jc w:val="center"/>
        </w:trPr>
        <w:tc>
          <w:tcPr>
            <w:tcW w:w="1080" w:type="dxa"/>
            <w:vAlign w:val="center"/>
          </w:tcPr>
          <w:p w:rsidR="006D6E5F" w:rsidRDefault="006D6E5F" w:rsidP="0063328B">
            <w:pPr>
              <w:adjustRightInd w:val="0"/>
              <w:snapToGrid w:val="0"/>
              <w:spacing w:line="320" w:lineRule="exact"/>
              <w:rPr>
                <w:rFonts w:ascii="仿宋" w:eastAsia="仿宋" w:hAnsi="仿宋" w:hint="eastAsia"/>
              </w:rPr>
            </w:pPr>
            <w:r>
              <w:rPr>
                <w:rFonts w:ascii="仿宋" w:eastAsia="仿宋" w:hAnsi="仿宋" w:hint="eastAsia"/>
              </w:rPr>
              <w:t>73200501</w:t>
            </w:r>
          </w:p>
        </w:tc>
        <w:tc>
          <w:tcPr>
            <w:tcW w:w="2547" w:type="dxa"/>
            <w:vAlign w:val="center"/>
          </w:tcPr>
          <w:p w:rsidR="006D6E5F" w:rsidRDefault="006D6E5F" w:rsidP="0063328B">
            <w:pPr>
              <w:adjustRightInd w:val="0"/>
              <w:snapToGrid w:val="0"/>
              <w:spacing w:line="320" w:lineRule="exact"/>
              <w:rPr>
                <w:rFonts w:ascii="仿宋" w:eastAsia="仿宋" w:hAnsi="仿宋" w:hint="eastAsia"/>
              </w:rPr>
            </w:pPr>
            <w:r>
              <w:rPr>
                <w:rFonts w:ascii="仿宋" w:eastAsia="仿宋" w:hAnsi="仿宋" w:hint="eastAsia"/>
              </w:rPr>
              <w:t>药用葡萄糖杂质检查</w:t>
            </w:r>
          </w:p>
        </w:tc>
        <w:tc>
          <w:tcPr>
            <w:tcW w:w="1134" w:type="dxa"/>
            <w:vAlign w:val="center"/>
          </w:tcPr>
          <w:p w:rsidR="006D6E5F" w:rsidRDefault="006D6E5F" w:rsidP="0063328B">
            <w:pPr>
              <w:widowControl/>
              <w:adjustRightInd w:val="0"/>
              <w:snapToGrid w:val="0"/>
              <w:spacing w:line="320" w:lineRule="exact"/>
              <w:rPr>
                <w:rFonts w:ascii="仿宋" w:eastAsia="仿宋" w:hAnsi="仿宋" w:hint="eastAsia"/>
              </w:rPr>
            </w:pPr>
            <w:r>
              <w:rPr>
                <w:rFonts w:ascii="仿宋" w:eastAsia="仿宋" w:hAnsi="仿宋" w:hint="eastAsia"/>
              </w:rPr>
              <w:t>验证性</w:t>
            </w:r>
          </w:p>
        </w:tc>
        <w:tc>
          <w:tcPr>
            <w:tcW w:w="1134" w:type="dxa"/>
            <w:vAlign w:val="center"/>
          </w:tcPr>
          <w:p w:rsidR="006D6E5F" w:rsidRDefault="006D6E5F" w:rsidP="0063328B">
            <w:pPr>
              <w:adjustRightInd w:val="0"/>
              <w:snapToGrid w:val="0"/>
              <w:spacing w:line="320" w:lineRule="exact"/>
              <w:rPr>
                <w:rFonts w:ascii="仿宋" w:eastAsia="仿宋" w:hAnsi="仿宋" w:hint="eastAsia"/>
              </w:rPr>
            </w:pPr>
            <w:r>
              <w:rPr>
                <w:rFonts w:ascii="仿宋" w:eastAsia="仿宋" w:hAnsi="仿宋" w:hint="eastAsia"/>
              </w:rPr>
              <w:t>必做</w:t>
            </w:r>
          </w:p>
        </w:tc>
        <w:tc>
          <w:tcPr>
            <w:tcW w:w="1134" w:type="dxa"/>
            <w:vAlign w:val="center"/>
          </w:tcPr>
          <w:p w:rsidR="006D6E5F" w:rsidRDefault="006D6E5F" w:rsidP="0063328B">
            <w:pPr>
              <w:adjustRightInd w:val="0"/>
              <w:snapToGrid w:val="0"/>
              <w:spacing w:line="320" w:lineRule="exact"/>
              <w:rPr>
                <w:rFonts w:ascii="仿宋" w:eastAsia="仿宋" w:hAnsi="仿宋" w:hint="eastAsia"/>
              </w:rPr>
            </w:pPr>
            <w:r>
              <w:rPr>
                <w:rFonts w:ascii="仿宋" w:eastAsia="仿宋" w:hAnsi="仿宋" w:hint="eastAsia"/>
              </w:rPr>
              <w:t>8</w:t>
            </w:r>
          </w:p>
        </w:tc>
        <w:tc>
          <w:tcPr>
            <w:tcW w:w="1134" w:type="dxa"/>
            <w:vAlign w:val="center"/>
          </w:tcPr>
          <w:p w:rsidR="006D6E5F" w:rsidRDefault="006D6E5F" w:rsidP="0063328B">
            <w:pPr>
              <w:adjustRightInd w:val="0"/>
              <w:snapToGrid w:val="0"/>
              <w:spacing w:line="320" w:lineRule="exact"/>
              <w:rPr>
                <w:rFonts w:ascii="仿宋" w:eastAsia="仿宋" w:hAnsi="仿宋" w:hint="eastAsia"/>
              </w:rPr>
            </w:pPr>
            <w:r>
              <w:rPr>
                <w:rFonts w:ascii="仿宋" w:eastAsia="仿宋" w:hAnsi="仿宋" w:hint="eastAsia"/>
              </w:rPr>
              <w:t>1</w:t>
            </w:r>
          </w:p>
        </w:tc>
        <w:tc>
          <w:tcPr>
            <w:tcW w:w="1017" w:type="dxa"/>
            <w:vAlign w:val="center"/>
          </w:tcPr>
          <w:p w:rsidR="006D6E5F" w:rsidRDefault="006D6E5F" w:rsidP="0063328B">
            <w:pPr>
              <w:adjustRightInd w:val="0"/>
              <w:snapToGrid w:val="0"/>
              <w:spacing w:line="320" w:lineRule="exact"/>
              <w:rPr>
                <w:rFonts w:ascii="仿宋" w:eastAsia="仿宋" w:hAnsi="仿宋" w:hint="eastAsia"/>
              </w:rPr>
            </w:pPr>
            <w:r>
              <w:rPr>
                <w:rFonts w:ascii="仿宋" w:eastAsia="仿宋" w:hAnsi="仿宋" w:hint="eastAsia"/>
              </w:rPr>
              <w:t>200109</w:t>
            </w:r>
          </w:p>
        </w:tc>
      </w:tr>
      <w:tr w:rsidR="006D6E5F" w:rsidTr="0063328B">
        <w:trPr>
          <w:jc w:val="center"/>
        </w:trPr>
        <w:tc>
          <w:tcPr>
            <w:tcW w:w="1080" w:type="dxa"/>
            <w:vAlign w:val="center"/>
          </w:tcPr>
          <w:p w:rsidR="006D6E5F" w:rsidRDefault="006D6E5F" w:rsidP="0063328B">
            <w:pPr>
              <w:adjustRightInd w:val="0"/>
              <w:snapToGrid w:val="0"/>
              <w:spacing w:line="320" w:lineRule="exact"/>
              <w:rPr>
                <w:rFonts w:ascii="仿宋" w:eastAsia="仿宋" w:hAnsi="仿宋" w:hint="eastAsia"/>
              </w:rPr>
            </w:pPr>
            <w:r>
              <w:rPr>
                <w:rFonts w:ascii="仿宋" w:eastAsia="仿宋" w:hAnsi="仿宋" w:hint="eastAsia"/>
              </w:rPr>
              <w:t>73200502</w:t>
            </w:r>
          </w:p>
        </w:tc>
        <w:tc>
          <w:tcPr>
            <w:tcW w:w="2547" w:type="dxa"/>
            <w:vAlign w:val="center"/>
          </w:tcPr>
          <w:p w:rsidR="006D6E5F" w:rsidRDefault="006D6E5F" w:rsidP="0063328B">
            <w:pPr>
              <w:rPr>
                <w:rFonts w:ascii="仿宋" w:eastAsia="仿宋" w:hAnsi="仿宋" w:hint="eastAsia"/>
              </w:rPr>
            </w:pPr>
            <w:r>
              <w:rPr>
                <w:rFonts w:ascii="仿宋" w:eastAsia="仿宋" w:hAnsi="仿宋" w:hint="eastAsia"/>
              </w:rPr>
              <w:t>药物中特殊杂质检查</w:t>
            </w:r>
          </w:p>
        </w:tc>
        <w:tc>
          <w:tcPr>
            <w:tcW w:w="1134" w:type="dxa"/>
            <w:vAlign w:val="center"/>
          </w:tcPr>
          <w:p w:rsidR="006D6E5F" w:rsidRDefault="006D6E5F" w:rsidP="0063328B">
            <w:pPr>
              <w:widowControl/>
              <w:rPr>
                <w:rFonts w:ascii="仿宋" w:eastAsia="仿宋" w:hAnsi="仿宋" w:hint="eastAsia"/>
              </w:rPr>
            </w:pPr>
            <w:r>
              <w:rPr>
                <w:rFonts w:ascii="仿宋" w:eastAsia="仿宋" w:hAnsi="仿宋" w:hint="eastAsia"/>
              </w:rPr>
              <w:t>验证性</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必做</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6</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1</w:t>
            </w:r>
          </w:p>
        </w:tc>
        <w:tc>
          <w:tcPr>
            <w:tcW w:w="1017" w:type="dxa"/>
            <w:vAlign w:val="center"/>
          </w:tcPr>
          <w:p w:rsidR="006D6E5F" w:rsidRDefault="006D6E5F" w:rsidP="0063328B">
            <w:pPr>
              <w:rPr>
                <w:rFonts w:ascii="仿宋" w:eastAsia="仿宋" w:hAnsi="仿宋" w:hint="eastAsia"/>
              </w:rPr>
            </w:pPr>
            <w:r>
              <w:rPr>
                <w:rFonts w:ascii="仿宋" w:eastAsia="仿宋" w:hAnsi="仿宋" w:hint="eastAsia"/>
              </w:rPr>
              <w:t>200109</w:t>
            </w:r>
          </w:p>
        </w:tc>
      </w:tr>
      <w:tr w:rsidR="006D6E5F" w:rsidTr="0063328B">
        <w:trPr>
          <w:jc w:val="center"/>
        </w:trPr>
        <w:tc>
          <w:tcPr>
            <w:tcW w:w="1080" w:type="dxa"/>
            <w:vAlign w:val="center"/>
          </w:tcPr>
          <w:p w:rsidR="006D6E5F" w:rsidRDefault="006D6E5F" w:rsidP="0063328B">
            <w:pPr>
              <w:adjustRightInd w:val="0"/>
              <w:snapToGrid w:val="0"/>
              <w:spacing w:line="320" w:lineRule="exact"/>
              <w:rPr>
                <w:rFonts w:ascii="仿宋" w:eastAsia="仿宋" w:hAnsi="仿宋" w:hint="eastAsia"/>
              </w:rPr>
            </w:pPr>
            <w:r>
              <w:rPr>
                <w:rFonts w:ascii="仿宋" w:eastAsia="仿宋" w:hAnsi="仿宋" w:hint="eastAsia"/>
              </w:rPr>
              <w:t>73200503</w:t>
            </w:r>
          </w:p>
        </w:tc>
        <w:tc>
          <w:tcPr>
            <w:tcW w:w="2547" w:type="dxa"/>
            <w:vAlign w:val="center"/>
          </w:tcPr>
          <w:p w:rsidR="006D6E5F" w:rsidRDefault="006D6E5F" w:rsidP="0063328B">
            <w:pPr>
              <w:rPr>
                <w:rFonts w:ascii="仿宋" w:eastAsia="仿宋" w:hAnsi="仿宋" w:hint="eastAsia"/>
              </w:rPr>
            </w:pPr>
            <w:r>
              <w:rPr>
                <w:rFonts w:ascii="仿宋" w:eastAsia="仿宋" w:hAnsi="仿宋" w:hint="eastAsia"/>
              </w:rPr>
              <w:t>原子吸收分光光度法检查</w:t>
            </w:r>
            <w:proofErr w:type="spellStart"/>
            <w:r>
              <w:rPr>
                <w:rFonts w:ascii="仿宋" w:eastAsia="仿宋" w:hAnsi="仿宋" w:hint="eastAsia"/>
              </w:rPr>
              <w:t>Vc</w:t>
            </w:r>
            <w:proofErr w:type="spellEnd"/>
            <w:r>
              <w:rPr>
                <w:rFonts w:ascii="仿宋" w:eastAsia="仿宋" w:hAnsi="仿宋" w:hint="eastAsia"/>
              </w:rPr>
              <w:t>中铁和铜离子含量</w:t>
            </w:r>
          </w:p>
        </w:tc>
        <w:tc>
          <w:tcPr>
            <w:tcW w:w="1134" w:type="dxa"/>
            <w:vAlign w:val="center"/>
          </w:tcPr>
          <w:p w:rsidR="006D6E5F" w:rsidRDefault="006D6E5F" w:rsidP="0063328B">
            <w:pPr>
              <w:widowControl/>
              <w:rPr>
                <w:rFonts w:ascii="仿宋" w:eastAsia="仿宋" w:hAnsi="仿宋" w:hint="eastAsia"/>
              </w:rPr>
            </w:pPr>
            <w:r>
              <w:rPr>
                <w:rFonts w:ascii="仿宋" w:eastAsia="仿宋" w:hAnsi="仿宋" w:hint="eastAsia"/>
              </w:rPr>
              <w:t>综合性</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必做</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8</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1</w:t>
            </w:r>
          </w:p>
        </w:tc>
        <w:tc>
          <w:tcPr>
            <w:tcW w:w="1017" w:type="dxa"/>
            <w:vAlign w:val="center"/>
          </w:tcPr>
          <w:p w:rsidR="006D6E5F" w:rsidRDefault="006D6E5F" w:rsidP="0063328B">
            <w:pPr>
              <w:rPr>
                <w:rFonts w:ascii="仿宋" w:eastAsia="仿宋" w:hAnsi="仿宋" w:hint="eastAsia"/>
              </w:rPr>
            </w:pPr>
            <w:r>
              <w:rPr>
                <w:rFonts w:ascii="仿宋" w:eastAsia="仿宋" w:hAnsi="仿宋" w:hint="eastAsia"/>
              </w:rPr>
              <w:t>200308</w:t>
            </w:r>
          </w:p>
        </w:tc>
      </w:tr>
      <w:tr w:rsidR="006D6E5F" w:rsidTr="0063328B">
        <w:trPr>
          <w:jc w:val="center"/>
        </w:trPr>
        <w:tc>
          <w:tcPr>
            <w:tcW w:w="1080" w:type="dxa"/>
            <w:vAlign w:val="center"/>
          </w:tcPr>
          <w:p w:rsidR="006D6E5F" w:rsidRDefault="006D6E5F" w:rsidP="0063328B">
            <w:pPr>
              <w:adjustRightInd w:val="0"/>
              <w:snapToGrid w:val="0"/>
              <w:spacing w:line="320" w:lineRule="exact"/>
              <w:rPr>
                <w:rFonts w:ascii="仿宋" w:eastAsia="仿宋" w:hAnsi="仿宋" w:hint="eastAsia"/>
              </w:rPr>
            </w:pPr>
            <w:r>
              <w:rPr>
                <w:rFonts w:ascii="仿宋" w:eastAsia="仿宋" w:hAnsi="仿宋" w:hint="eastAsia"/>
              </w:rPr>
              <w:t>73200504</w:t>
            </w:r>
          </w:p>
        </w:tc>
        <w:tc>
          <w:tcPr>
            <w:tcW w:w="2547" w:type="dxa"/>
            <w:vAlign w:val="center"/>
          </w:tcPr>
          <w:p w:rsidR="006D6E5F" w:rsidRDefault="006D6E5F" w:rsidP="0063328B">
            <w:pPr>
              <w:rPr>
                <w:rFonts w:ascii="仿宋" w:eastAsia="仿宋" w:hAnsi="仿宋" w:hint="eastAsia"/>
              </w:rPr>
            </w:pPr>
            <w:r>
              <w:rPr>
                <w:rFonts w:ascii="仿宋" w:eastAsia="仿宋" w:hAnsi="仿宋" w:hint="eastAsia"/>
              </w:rPr>
              <w:t>紫外-可见分光光度法测定对乙酰氨基酚片含量的方法学研究</w:t>
            </w:r>
          </w:p>
        </w:tc>
        <w:tc>
          <w:tcPr>
            <w:tcW w:w="1134" w:type="dxa"/>
            <w:vAlign w:val="center"/>
          </w:tcPr>
          <w:p w:rsidR="006D6E5F" w:rsidRDefault="006D6E5F" w:rsidP="0063328B">
            <w:pPr>
              <w:widowControl/>
              <w:spacing w:line="320" w:lineRule="exact"/>
              <w:rPr>
                <w:rFonts w:ascii="仿宋" w:eastAsia="仿宋" w:hAnsi="仿宋" w:hint="eastAsia"/>
              </w:rPr>
            </w:pPr>
            <w:r>
              <w:rPr>
                <w:rFonts w:ascii="仿宋" w:eastAsia="仿宋" w:hAnsi="仿宋" w:hint="eastAsia"/>
              </w:rPr>
              <w:t>设计性</w:t>
            </w:r>
          </w:p>
        </w:tc>
        <w:tc>
          <w:tcPr>
            <w:tcW w:w="1134" w:type="dxa"/>
            <w:vAlign w:val="center"/>
          </w:tcPr>
          <w:p w:rsidR="006D6E5F" w:rsidRDefault="006D6E5F" w:rsidP="0063328B">
            <w:pPr>
              <w:spacing w:line="320" w:lineRule="exact"/>
              <w:rPr>
                <w:rFonts w:ascii="仿宋" w:eastAsia="仿宋" w:hAnsi="仿宋" w:hint="eastAsia"/>
              </w:rPr>
            </w:pPr>
            <w:r>
              <w:rPr>
                <w:rFonts w:ascii="仿宋" w:eastAsia="仿宋" w:hAnsi="仿宋" w:hint="eastAsia"/>
              </w:rPr>
              <w:t>必做</w:t>
            </w:r>
          </w:p>
        </w:tc>
        <w:tc>
          <w:tcPr>
            <w:tcW w:w="1134" w:type="dxa"/>
            <w:vAlign w:val="center"/>
          </w:tcPr>
          <w:p w:rsidR="006D6E5F" w:rsidRDefault="006D6E5F" w:rsidP="0063328B">
            <w:pPr>
              <w:spacing w:line="320" w:lineRule="exact"/>
              <w:rPr>
                <w:rFonts w:ascii="仿宋" w:eastAsia="仿宋" w:hAnsi="仿宋" w:hint="eastAsia"/>
              </w:rPr>
            </w:pPr>
            <w:r>
              <w:rPr>
                <w:rFonts w:ascii="仿宋" w:eastAsia="仿宋" w:hAnsi="仿宋" w:hint="eastAsia"/>
              </w:rPr>
              <w:t>8</w:t>
            </w:r>
          </w:p>
        </w:tc>
        <w:tc>
          <w:tcPr>
            <w:tcW w:w="1134" w:type="dxa"/>
            <w:vAlign w:val="center"/>
          </w:tcPr>
          <w:p w:rsidR="006D6E5F" w:rsidRDefault="006D6E5F" w:rsidP="0063328B">
            <w:pPr>
              <w:spacing w:line="320" w:lineRule="exact"/>
              <w:rPr>
                <w:rFonts w:ascii="仿宋" w:eastAsia="仿宋" w:hAnsi="仿宋" w:hint="eastAsia"/>
              </w:rPr>
            </w:pPr>
            <w:r>
              <w:rPr>
                <w:rFonts w:ascii="仿宋" w:eastAsia="仿宋" w:hAnsi="仿宋" w:hint="eastAsia"/>
              </w:rPr>
              <w:t>1</w:t>
            </w:r>
          </w:p>
        </w:tc>
        <w:tc>
          <w:tcPr>
            <w:tcW w:w="1017" w:type="dxa"/>
            <w:vAlign w:val="center"/>
          </w:tcPr>
          <w:p w:rsidR="006D6E5F" w:rsidRDefault="006D6E5F" w:rsidP="0063328B">
            <w:pPr>
              <w:spacing w:line="320" w:lineRule="exact"/>
              <w:rPr>
                <w:rFonts w:ascii="仿宋" w:eastAsia="仿宋" w:hAnsi="仿宋" w:hint="eastAsia"/>
              </w:rPr>
            </w:pPr>
            <w:r>
              <w:rPr>
                <w:rFonts w:ascii="仿宋" w:eastAsia="仿宋" w:hAnsi="仿宋" w:hint="eastAsia"/>
              </w:rPr>
              <w:t>201405</w:t>
            </w:r>
          </w:p>
        </w:tc>
      </w:tr>
      <w:tr w:rsidR="006D6E5F" w:rsidTr="0063328B">
        <w:trPr>
          <w:jc w:val="center"/>
        </w:trPr>
        <w:tc>
          <w:tcPr>
            <w:tcW w:w="1080" w:type="dxa"/>
            <w:vAlign w:val="center"/>
          </w:tcPr>
          <w:p w:rsidR="006D6E5F" w:rsidRDefault="006D6E5F" w:rsidP="0063328B">
            <w:pPr>
              <w:adjustRightInd w:val="0"/>
              <w:snapToGrid w:val="0"/>
              <w:spacing w:line="320" w:lineRule="exact"/>
              <w:rPr>
                <w:rFonts w:ascii="仿宋" w:eastAsia="仿宋" w:hAnsi="仿宋" w:hint="eastAsia"/>
              </w:rPr>
            </w:pPr>
            <w:r>
              <w:rPr>
                <w:rFonts w:ascii="仿宋" w:eastAsia="仿宋" w:hAnsi="仿宋" w:hint="eastAsia"/>
              </w:rPr>
              <w:t>73200505</w:t>
            </w:r>
          </w:p>
        </w:tc>
        <w:tc>
          <w:tcPr>
            <w:tcW w:w="2547" w:type="dxa"/>
            <w:vAlign w:val="center"/>
          </w:tcPr>
          <w:p w:rsidR="006D6E5F" w:rsidRDefault="006D6E5F" w:rsidP="0063328B">
            <w:pPr>
              <w:rPr>
                <w:rFonts w:ascii="仿宋" w:eastAsia="仿宋" w:hAnsi="仿宋" w:hint="eastAsia"/>
              </w:rPr>
            </w:pPr>
            <w:r>
              <w:rPr>
                <w:rFonts w:ascii="仿宋" w:eastAsia="仿宋" w:hAnsi="仿宋" w:hint="eastAsia"/>
              </w:rPr>
              <w:t>紫外分光光度法测定混合物中非那西汀和咖啡因的含量及蛋白质含量的测定</w:t>
            </w:r>
          </w:p>
        </w:tc>
        <w:tc>
          <w:tcPr>
            <w:tcW w:w="1134" w:type="dxa"/>
            <w:vAlign w:val="center"/>
          </w:tcPr>
          <w:p w:rsidR="006D6E5F" w:rsidRDefault="006D6E5F" w:rsidP="0063328B">
            <w:pPr>
              <w:widowControl/>
              <w:spacing w:line="320" w:lineRule="exact"/>
              <w:rPr>
                <w:rFonts w:ascii="仿宋" w:eastAsia="仿宋" w:hAnsi="仿宋" w:hint="eastAsia"/>
              </w:rPr>
            </w:pPr>
            <w:r>
              <w:rPr>
                <w:rFonts w:ascii="仿宋" w:eastAsia="仿宋" w:hAnsi="仿宋" w:hint="eastAsia"/>
              </w:rPr>
              <w:t>综合性</w:t>
            </w:r>
          </w:p>
        </w:tc>
        <w:tc>
          <w:tcPr>
            <w:tcW w:w="1134" w:type="dxa"/>
            <w:vAlign w:val="center"/>
          </w:tcPr>
          <w:p w:rsidR="006D6E5F" w:rsidRDefault="006D6E5F" w:rsidP="0063328B">
            <w:pPr>
              <w:spacing w:line="320" w:lineRule="exact"/>
              <w:rPr>
                <w:rFonts w:ascii="仿宋" w:eastAsia="仿宋" w:hAnsi="仿宋" w:hint="eastAsia"/>
              </w:rPr>
            </w:pPr>
            <w:r>
              <w:rPr>
                <w:rFonts w:ascii="仿宋" w:eastAsia="仿宋" w:hAnsi="仿宋" w:hint="eastAsia"/>
              </w:rPr>
              <w:t>选做</w:t>
            </w:r>
          </w:p>
        </w:tc>
        <w:tc>
          <w:tcPr>
            <w:tcW w:w="1134" w:type="dxa"/>
            <w:vAlign w:val="center"/>
          </w:tcPr>
          <w:p w:rsidR="006D6E5F" w:rsidRDefault="006D6E5F" w:rsidP="0063328B">
            <w:pPr>
              <w:spacing w:line="320" w:lineRule="exact"/>
              <w:rPr>
                <w:rFonts w:ascii="仿宋" w:eastAsia="仿宋" w:hAnsi="仿宋" w:hint="eastAsia"/>
              </w:rPr>
            </w:pPr>
            <w:r>
              <w:rPr>
                <w:rFonts w:ascii="仿宋" w:eastAsia="仿宋" w:hAnsi="仿宋" w:hint="eastAsia"/>
              </w:rPr>
              <w:t>8</w:t>
            </w:r>
          </w:p>
        </w:tc>
        <w:tc>
          <w:tcPr>
            <w:tcW w:w="1134" w:type="dxa"/>
            <w:vAlign w:val="center"/>
          </w:tcPr>
          <w:p w:rsidR="006D6E5F" w:rsidRDefault="006D6E5F" w:rsidP="0063328B">
            <w:pPr>
              <w:spacing w:line="320" w:lineRule="exact"/>
              <w:rPr>
                <w:rFonts w:ascii="仿宋" w:eastAsia="仿宋" w:hAnsi="仿宋" w:hint="eastAsia"/>
              </w:rPr>
            </w:pPr>
            <w:r>
              <w:rPr>
                <w:rFonts w:ascii="仿宋" w:eastAsia="仿宋" w:hAnsi="仿宋" w:hint="eastAsia"/>
              </w:rPr>
              <w:t>1</w:t>
            </w:r>
          </w:p>
        </w:tc>
        <w:tc>
          <w:tcPr>
            <w:tcW w:w="1017" w:type="dxa"/>
            <w:vAlign w:val="center"/>
          </w:tcPr>
          <w:p w:rsidR="006D6E5F" w:rsidRDefault="006D6E5F" w:rsidP="0063328B">
            <w:pPr>
              <w:spacing w:line="320" w:lineRule="exact"/>
              <w:rPr>
                <w:rFonts w:ascii="仿宋" w:eastAsia="仿宋" w:hAnsi="仿宋" w:hint="eastAsia"/>
              </w:rPr>
            </w:pPr>
            <w:r>
              <w:rPr>
                <w:rFonts w:ascii="仿宋" w:eastAsia="仿宋" w:hAnsi="仿宋" w:hint="eastAsia"/>
              </w:rPr>
              <w:t>201505</w:t>
            </w:r>
          </w:p>
        </w:tc>
      </w:tr>
      <w:tr w:rsidR="006D6E5F" w:rsidTr="0063328B">
        <w:trPr>
          <w:jc w:val="center"/>
        </w:trPr>
        <w:tc>
          <w:tcPr>
            <w:tcW w:w="1080" w:type="dxa"/>
            <w:vAlign w:val="center"/>
          </w:tcPr>
          <w:p w:rsidR="006D6E5F" w:rsidRDefault="006D6E5F" w:rsidP="0063328B">
            <w:pPr>
              <w:adjustRightInd w:val="0"/>
              <w:snapToGrid w:val="0"/>
              <w:spacing w:line="320" w:lineRule="exact"/>
              <w:rPr>
                <w:rFonts w:ascii="仿宋" w:eastAsia="仿宋" w:hAnsi="仿宋" w:hint="eastAsia"/>
              </w:rPr>
            </w:pPr>
            <w:r>
              <w:rPr>
                <w:rFonts w:ascii="仿宋" w:eastAsia="仿宋" w:hAnsi="仿宋" w:hint="eastAsia"/>
              </w:rPr>
              <w:t>73200506</w:t>
            </w:r>
          </w:p>
        </w:tc>
        <w:tc>
          <w:tcPr>
            <w:tcW w:w="2547" w:type="dxa"/>
            <w:vAlign w:val="center"/>
          </w:tcPr>
          <w:p w:rsidR="006D6E5F" w:rsidRDefault="006D6E5F" w:rsidP="0063328B">
            <w:pPr>
              <w:rPr>
                <w:rFonts w:ascii="仿宋" w:eastAsia="仿宋" w:hAnsi="仿宋" w:hint="eastAsia"/>
              </w:rPr>
            </w:pPr>
            <w:r>
              <w:rPr>
                <w:rFonts w:ascii="仿宋" w:eastAsia="仿宋" w:hAnsi="仿宋" w:hint="eastAsia"/>
              </w:rPr>
              <w:t>肌苷的质量分析</w:t>
            </w:r>
          </w:p>
        </w:tc>
        <w:tc>
          <w:tcPr>
            <w:tcW w:w="1134" w:type="dxa"/>
            <w:vAlign w:val="center"/>
          </w:tcPr>
          <w:p w:rsidR="006D6E5F" w:rsidRDefault="006D6E5F" w:rsidP="0063328B">
            <w:pPr>
              <w:widowControl/>
              <w:rPr>
                <w:rFonts w:ascii="仿宋" w:eastAsia="仿宋" w:hAnsi="仿宋" w:hint="eastAsia"/>
              </w:rPr>
            </w:pPr>
            <w:r>
              <w:rPr>
                <w:rFonts w:ascii="仿宋" w:eastAsia="仿宋" w:hAnsi="仿宋" w:hint="eastAsia"/>
              </w:rPr>
              <w:t>验证性</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选做</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8</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1</w:t>
            </w:r>
          </w:p>
        </w:tc>
        <w:tc>
          <w:tcPr>
            <w:tcW w:w="1017" w:type="dxa"/>
            <w:vAlign w:val="center"/>
          </w:tcPr>
          <w:p w:rsidR="006D6E5F" w:rsidRDefault="006D6E5F" w:rsidP="0063328B">
            <w:pPr>
              <w:rPr>
                <w:rFonts w:ascii="仿宋" w:eastAsia="仿宋" w:hAnsi="仿宋" w:hint="eastAsia"/>
              </w:rPr>
            </w:pPr>
            <w:r>
              <w:rPr>
                <w:rFonts w:ascii="仿宋" w:eastAsia="仿宋" w:hAnsi="仿宋" w:hint="eastAsia"/>
              </w:rPr>
              <w:t>200305</w:t>
            </w:r>
          </w:p>
        </w:tc>
      </w:tr>
      <w:tr w:rsidR="006D6E5F" w:rsidTr="0063328B">
        <w:trPr>
          <w:jc w:val="center"/>
        </w:trPr>
        <w:tc>
          <w:tcPr>
            <w:tcW w:w="1080" w:type="dxa"/>
            <w:vAlign w:val="center"/>
          </w:tcPr>
          <w:p w:rsidR="006D6E5F" w:rsidRDefault="006D6E5F" w:rsidP="0063328B">
            <w:pPr>
              <w:adjustRightInd w:val="0"/>
              <w:snapToGrid w:val="0"/>
              <w:spacing w:line="320" w:lineRule="exact"/>
              <w:rPr>
                <w:rFonts w:ascii="仿宋" w:eastAsia="仿宋" w:hAnsi="仿宋" w:hint="eastAsia"/>
              </w:rPr>
            </w:pPr>
            <w:r>
              <w:rPr>
                <w:rFonts w:ascii="仿宋" w:eastAsia="仿宋" w:hAnsi="仿宋" w:hint="eastAsia"/>
              </w:rPr>
              <w:t>73200507</w:t>
            </w:r>
          </w:p>
        </w:tc>
        <w:tc>
          <w:tcPr>
            <w:tcW w:w="2547" w:type="dxa"/>
            <w:vAlign w:val="center"/>
          </w:tcPr>
          <w:p w:rsidR="006D6E5F" w:rsidRDefault="006D6E5F" w:rsidP="0063328B">
            <w:pPr>
              <w:rPr>
                <w:rFonts w:ascii="仿宋" w:eastAsia="仿宋" w:hAnsi="仿宋" w:hint="eastAsia"/>
              </w:rPr>
            </w:pPr>
            <w:r>
              <w:rPr>
                <w:rFonts w:ascii="仿宋" w:eastAsia="仿宋" w:hAnsi="仿宋" w:hint="eastAsia"/>
              </w:rPr>
              <w:t>甲状腺片的含量测定</w:t>
            </w:r>
          </w:p>
        </w:tc>
        <w:tc>
          <w:tcPr>
            <w:tcW w:w="1134" w:type="dxa"/>
            <w:vAlign w:val="center"/>
          </w:tcPr>
          <w:p w:rsidR="006D6E5F" w:rsidRDefault="006D6E5F" w:rsidP="0063328B">
            <w:pPr>
              <w:widowControl/>
              <w:rPr>
                <w:rFonts w:ascii="仿宋" w:eastAsia="仿宋" w:hAnsi="仿宋" w:hint="eastAsia"/>
              </w:rPr>
            </w:pPr>
            <w:r>
              <w:rPr>
                <w:rFonts w:ascii="仿宋" w:eastAsia="仿宋" w:hAnsi="仿宋" w:hint="eastAsia"/>
              </w:rPr>
              <w:t>综合性</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选做</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6</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1</w:t>
            </w:r>
          </w:p>
        </w:tc>
        <w:tc>
          <w:tcPr>
            <w:tcW w:w="1017" w:type="dxa"/>
            <w:vAlign w:val="center"/>
          </w:tcPr>
          <w:p w:rsidR="006D6E5F" w:rsidRDefault="006D6E5F" w:rsidP="0063328B">
            <w:pPr>
              <w:rPr>
                <w:rFonts w:ascii="仿宋" w:eastAsia="仿宋" w:hAnsi="仿宋" w:hint="eastAsia"/>
              </w:rPr>
            </w:pPr>
            <w:r>
              <w:rPr>
                <w:rFonts w:ascii="仿宋" w:eastAsia="仿宋" w:hAnsi="仿宋" w:hint="eastAsia"/>
              </w:rPr>
              <w:t>200109</w:t>
            </w:r>
          </w:p>
        </w:tc>
      </w:tr>
      <w:tr w:rsidR="006D6E5F" w:rsidTr="0063328B">
        <w:trPr>
          <w:jc w:val="center"/>
        </w:trPr>
        <w:tc>
          <w:tcPr>
            <w:tcW w:w="1080" w:type="dxa"/>
            <w:vAlign w:val="center"/>
          </w:tcPr>
          <w:p w:rsidR="006D6E5F" w:rsidRDefault="006D6E5F" w:rsidP="0063328B">
            <w:pPr>
              <w:adjustRightInd w:val="0"/>
              <w:snapToGrid w:val="0"/>
              <w:spacing w:line="320" w:lineRule="exact"/>
              <w:rPr>
                <w:rFonts w:ascii="仿宋" w:eastAsia="仿宋" w:hAnsi="仿宋" w:hint="eastAsia"/>
              </w:rPr>
            </w:pPr>
            <w:r>
              <w:rPr>
                <w:rFonts w:ascii="仿宋" w:eastAsia="仿宋" w:hAnsi="仿宋" w:hint="eastAsia"/>
              </w:rPr>
              <w:lastRenderedPageBreak/>
              <w:t>73200508</w:t>
            </w:r>
          </w:p>
        </w:tc>
        <w:tc>
          <w:tcPr>
            <w:tcW w:w="2547" w:type="dxa"/>
            <w:vAlign w:val="center"/>
          </w:tcPr>
          <w:p w:rsidR="006D6E5F" w:rsidRDefault="006D6E5F" w:rsidP="0063328B">
            <w:pPr>
              <w:rPr>
                <w:rFonts w:ascii="仿宋" w:eastAsia="仿宋" w:hAnsi="仿宋" w:hint="eastAsia"/>
              </w:rPr>
            </w:pPr>
            <w:r>
              <w:rPr>
                <w:rFonts w:ascii="仿宋" w:eastAsia="仿宋" w:hAnsi="仿宋" w:hint="eastAsia"/>
              </w:rPr>
              <w:t>HPLC-MS法测定药物中主要成分的含量</w:t>
            </w:r>
          </w:p>
        </w:tc>
        <w:tc>
          <w:tcPr>
            <w:tcW w:w="1134" w:type="dxa"/>
            <w:vAlign w:val="center"/>
          </w:tcPr>
          <w:p w:rsidR="006D6E5F" w:rsidRDefault="006D6E5F" w:rsidP="0063328B">
            <w:pPr>
              <w:widowControl/>
              <w:rPr>
                <w:rFonts w:ascii="仿宋" w:eastAsia="仿宋" w:hAnsi="仿宋" w:hint="eastAsia"/>
              </w:rPr>
            </w:pPr>
            <w:r>
              <w:rPr>
                <w:rFonts w:ascii="仿宋" w:eastAsia="仿宋" w:hAnsi="仿宋" w:hint="eastAsia"/>
              </w:rPr>
              <w:t>综合性</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选做</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16</w:t>
            </w:r>
          </w:p>
        </w:tc>
        <w:tc>
          <w:tcPr>
            <w:tcW w:w="1134" w:type="dxa"/>
            <w:vAlign w:val="center"/>
          </w:tcPr>
          <w:p w:rsidR="006D6E5F" w:rsidRDefault="006D6E5F" w:rsidP="0063328B">
            <w:pPr>
              <w:rPr>
                <w:rFonts w:ascii="仿宋" w:eastAsia="仿宋" w:hAnsi="仿宋" w:hint="eastAsia"/>
              </w:rPr>
            </w:pPr>
            <w:r>
              <w:rPr>
                <w:rFonts w:ascii="仿宋" w:eastAsia="仿宋" w:hAnsi="仿宋" w:hint="eastAsia"/>
              </w:rPr>
              <w:t>2</w:t>
            </w:r>
          </w:p>
        </w:tc>
        <w:tc>
          <w:tcPr>
            <w:tcW w:w="1017" w:type="dxa"/>
            <w:vAlign w:val="center"/>
          </w:tcPr>
          <w:p w:rsidR="006D6E5F" w:rsidRDefault="006D6E5F" w:rsidP="0063328B">
            <w:pPr>
              <w:rPr>
                <w:rFonts w:ascii="仿宋" w:eastAsia="仿宋" w:hAnsi="仿宋" w:hint="eastAsia"/>
              </w:rPr>
            </w:pPr>
            <w:r>
              <w:rPr>
                <w:rFonts w:ascii="仿宋" w:eastAsia="仿宋" w:hAnsi="仿宋" w:hint="eastAsia"/>
              </w:rPr>
              <w:t>201605</w:t>
            </w:r>
          </w:p>
        </w:tc>
      </w:tr>
    </w:tbl>
    <w:p w:rsidR="006D6E5F" w:rsidRDefault="006D6E5F" w:rsidP="006D6E5F">
      <w:pPr>
        <w:overflowPunct w:val="0"/>
        <w:autoSpaceDE w:val="0"/>
        <w:autoSpaceDN w:val="0"/>
        <w:adjustRightInd w:val="0"/>
        <w:snapToGrid w:val="0"/>
        <w:spacing w:line="320" w:lineRule="exact"/>
        <w:ind w:firstLineChars="200" w:firstLine="482"/>
        <w:rPr>
          <w:rFonts w:ascii="楷体_GB2312" w:eastAsia="楷体_GB2312" w:hint="eastAsia"/>
          <w:b/>
          <w:color w:val="000000"/>
          <w:sz w:val="24"/>
        </w:rPr>
      </w:pPr>
      <w:r>
        <w:rPr>
          <w:rFonts w:ascii="楷体_GB2312" w:eastAsia="楷体_GB2312" w:hint="eastAsia"/>
          <w:b/>
          <w:color w:val="000000"/>
          <w:sz w:val="24"/>
        </w:rPr>
        <w:t>13.实验教材或指导书或主要参考资料</w:t>
      </w:r>
    </w:p>
    <w:p w:rsidR="006D6E5F" w:rsidRDefault="006D6E5F" w:rsidP="006D6E5F">
      <w:pPr>
        <w:overflowPunct w:val="0"/>
        <w:autoSpaceDE w:val="0"/>
        <w:autoSpaceDN w:val="0"/>
        <w:adjustRightInd w:val="0"/>
        <w:snapToGrid w:val="0"/>
        <w:spacing w:line="320" w:lineRule="exact"/>
        <w:ind w:firstLine="480"/>
        <w:rPr>
          <w:rFonts w:ascii="楷体_GB2312" w:eastAsia="楷体_GB2312" w:hint="eastAsia"/>
          <w:color w:val="000000"/>
          <w:sz w:val="24"/>
        </w:rPr>
      </w:pPr>
      <w:r>
        <w:rPr>
          <w:rFonts w:ascii="楷体_GB2312" w:eastAsia="楷体_GB2312" w:hint="eastAsia"/>
          <w:color w:val="000000"/>
          <w:sz w:val="24"/>
        </w:rPr>
        <w:t>实验教材</w:t>
      </w:r>
    </w:p>
    <w:p w:rsidR="006D6E5F" w:rsidRDefault="006D6E5F" w:rsidP="006D6E5F">
      <w:pPr>
        <w:overflowPunct w:val="0"/>
        <w:autoSpaceDE w:val="0"/>
        <w:autoSpaceDN w:val="0"/>
        <w:adjustRightInd w:val="0"/>
        <w:snapToGrid w:val="0"/>
        <w:spacing w:line="320" w:lineRule="exact"/>
        <w:rPr>
          <w:rFonts w:ascii="楷体_GB2312" w:eastAsia="楷体_GB2312" w:hint="eastAsia"/>
          <w:color w:val="000000"/>
          <w:sz w:val="24"/>
        </w:rPr>
      </w:pPr>
      <w:r>
        <w:rPr>
          <w:rFonts w:ascii="楷体_GB2312" w:eastAsia="楷体_GB2312" w:hint="eastAsia"/>
          <w:color w:val="000000"/>
          <w:sz w:val="24"/>
        </w:rPr>
        <w:t>张沐新，赵春芳，孙严彤，</w:t>
      </w:r>
      <w:r>
        <w:rPr>
          <w:rFonts w:ascii="楷体_GB2312" w:eastAsia="楷体_GB2312"/>
          <w:color w:val="000000"/>
          <w:sz w:val="24"/>
        </w:rPr>
        <w:t>药物分析实验</w:t>
      </w:r>
      <w:r>
        <w:rPr>
          <w:rFonts w:ascii="楷体_GB2312" w:eastAsia="楷体_GB2312" w:hint="eastAsia"/>
          <w:color w:val="000000"/>
          <w:sz w:val="24"/>
        </w:rPr>
        <w:t>讲义，自编，2014。</w:t>
      </w:r>
    </w:p>
    <w:p w:rsidR="006D6E5F" w:rsidRDefault="006D6E5F" w:rsidP="006D6E5F">
      <w:pPr>
        <w:overflowPunct w:val="0"/>
        <w:autoSpaceDE w:val="0"/>
        <w:autoSpaceDN w:val="0"/>
        <w:adjustRightInd w:val="0"/>
        <w:snapToGrid w:val="0"/>
        <w:spacing w:line="320" w:lineRule="exact"/>
        <w:ind w:firstLine="480"/>
        <w:rPr>
          <w:rFonts w:ascii="楷体_GB2312" w:eastAsia="楷体_GB2312" w:hint="eastAsia"/>
          <w:color w:val="000000"/>
          <w:sz w:val="24"/>
        </w:rPr>
      </w:pPr>
      <w:r>
        <w:rPr>
          <w:rFonts w:ascii="楷体_GB2312" w:eastAsia="楷体_GB2312" w:hint="eastAsia"/>
          <w:color w:val="000000"/>
          <w:sz w:val="24"/>
        </w:rPr>
        <w:t>主要参考资料</w:t>
      </w:r>
    </w:p>
    <w:p w:rsidR="006D6E5F" w:rsidRDefault="006D6E5F" w:rsidP="006D6E5F">
      <w:pPr>
        <w:overflowPunct w:val="0"/>
        <w:autoSpaceDE w:val="0"/>
        <w:autoSpaceDN w:val="0"/>
        <w:adjustRightInd w:val="0"/>
        <w:snapToGrid w:val="0"/>
        <w:spacing w:line="320" w:lineRule="exact"/>
        <w:rPr>
          <w:rFonts w:ascii="楷体_GB2312" w:eastAsia="楷体_GB2312" w:hint="eastAsia"/>
          <w:color w:val="000000"/>
          <w:sz w:val="24"/>
        </w:rPr>
      </w:pPr>
      <w:r>
        <w:rPr>
          <w:rFonts w:ascii="楷体_GB2312" w:eastAsia="楷体_GB2312"/>
          <w:color w:val="000000"/>
          <w:sz w:val="24"/>
        </w:rPr>
        <w:t>国家药典委员会编</w:t>
      </w:r>
      <w:r>
        <w:rPr>
          <w:rFonts w:ascii="楷体_GB2312" w:eastAsia="楷体_GB2312" w:hint="eastAsia"/>
          <w:color w:val="000000"/>
          <w:sz w:val="24"/>
        </w:rPr>
        <w:t>.</w:t>
      </w:r>
      <w:r>
        <w:rPr>
          <w:rFonts w:ascii="楷体_GB2312" w:eastAsia="楷体_GB2312"/>
          <w:color w:val="000000"/>
          <w:sz w:val="24"/>
        </w:rPr>
        <w:t>中华人民共和国药典</w:t>
      </w:r>
      <w:r>
        <w:rPr>
          <w:rFonts w:ascii="楷体_GB2312" w:eastAsia="楷体_GB2312" w:hint="eastAsia"/>
          <w:color w:val="000000"/>
          <w:sz w:val="24"/>
        </w:rPr>
        <w:t>.北京：</w:t>
      </w:r>
      <w:r>
        <w:rPr>
          <w:rFonts w:ascii="楷体_GB2312" w:eastAsia="楷体_GB2312"/>
          <w:color w:val="000000"/>
          <w:sz w:val="24"/>
        </w:rPr>
        <w:t>化学工业出版社</w:t>
      </w:r>
      <w:r>
        <w:rPr>
          <w:rFonts w:ascii="楷体_GB2312" w:eastAsia="楷体_GB2312" w:hint="eastAsia"/>
          <w:color w:val="000000"/>
          <w:sz w:val="24"/>
        </w:rPr>
        <w:t>.</w:t>
      </w:r>
      <w:r>
        <w:rPr>
          <w:rFonts w:ascii="楷体_GB2312" w:eastAsia="楷体_GB2312"/>
          <w:color w:val="000000"/>
          <w:sz w:val="24"/>
        </w:rPr>
        <w:t xml:space="preserve"> 20</w:t>
      </w:r>
      <w:r>
        <w:rPr>
          <w:rFonts w:ascii="楷体_GB2312" w:eastAsia="楷体_GB2312" w:hint="eastAsia"/>
          <w:color w:val="000000"/>
          <w:sz w:val="24"/>
        </w:rPr>
        <w:t>10</w:t>
      </w:r>
    </w:p>
    <w:p w:rsidR="006D6E5F" w:rsidRDefault="006D6E5F" w:rsidP="006D6E5F">
      <w:pPr>
        <w:overflowPunct w:val="0"/>
        <w:autoSpaceDE w:val="0"/>
        <w:autoSpaceDN w:val="0"/>
        <w:adjustRightInd w:val="0"/>
        <w:snapToGrid w:val="0"/>
        <w:spacing w:line="320" w:lineRule="exact"/>
        <w:rPr>
          <w:rFonts w:ascii="楷体_GB2312" w:eastAsia="楷体_GB2312" w:hint="eastAsia"/>
          <w:color w:val="000000"/>
          <w:sz w:val="24"/>
        </w:rPr>
      </w:pPr>
      <w:r>
        <w:rPr>
          <w:rFonts w:ascii="楷体_GB2312" w:eastAsia="楷体_GB2312" w:hint="eastAsia"/>
          <w:color w:val="000000"/>
          <w:sz w:val="24"/>
        </w:rPr>
        <w:t>杭太俊主编. 药物分析（第7版）.北京:人民卫生出版社.2011.</w:t>
      </w:r>
    </w:p>
    <w:p w:rsidR="006D6E5F" w:rsidRDefault="006D6E5F" w:rsidP="006D6E5F">
      <w:pPr>
        <w:overflowPunct w:val="0"/>
        <w:autoSpaceDE w:val="0"/>
        <w:autoSpaceDN w:val="0"/>
        <w:adjustRightInd w:val="0"/>
        <w:snapToGrid w:val="0"/>
        <w:spacing w:line="320" w:lineRule="exact"/>
        <w:ind w:firstLineChars="200" w:firstLine="482"/>
        <w:rPr>
          <w:rFonts w:ascii="楷体_GB2312" w:eastAsia="楷体_GB2312" w:hint="eastAsia"/>
          <w:b/>
          <w:color w:val="000000"/>
          <w:sz w:val="24"/>
        </w:rPr>
      </w:pPr>
      <w:r>
        <w:rPr>
          <w:rFonts w:ascii="楷体_GB2312" w:eastAsia="楷体_GB2312" w:hint="eastAsia"/>
          <w:b/>
          <w:color w:val="000000"/>
          <w:sz w:val="24"/>
        </w:rPr>
        <w:t>14.考核要求、考核方式及成绩评定标准</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hint="eastAsia"/>
          <w:color w:val="000000"/>
          <w:sz w:val="24"/>
        </w:rPr>
      </w:pPr>
      <w:r>
        <w:rPr>
          <w:rFonts w:ascii="楷体_GB2312" w:eastAsia="楷体_GB2312" w:hint="eastAsia"/>
          <w:color w:val="000000"/>
          <w:sz w:val="24"/>
        </w:rPr>
        <w:t>学生的实验态度、实验操作、实验结果和实验报告四项为实验成绩评分的考核标准，考核成绩占《药物分析I》总成绩的</w:t>
      </w:r>
      <w:r>
        <w:rPr>
          <w:rFonts w:ascii="楷体_GB2312" w:eastAsia="楷体_GB2312"/>
          <w:color w:val="000000"/>
          <w:sz w:val="24"/>
        </w:rPr>
        <w:t>30</w:t>
      </w:r>
      <w:r>
        <w:rPr>
          <w:rFonts w:ascii="楷体_GB2312" w:eastAsia="楷体_GB2312" w:hint="eastAsia"/>
          <w:color w:val="000000"/>
          <w:sz w:val="24"/>
        </w:rPr>
        <w:t>％。</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hint="eastAsia"/>
          <w:color w:val="000000"/>
          <w:sz w:val="24"/>
        </w:rPr>
      </w:pPr>
      <w:r>
        <w:rPr>
          <w:rFonts w:ascii="楷体_GB2312" w:eastAsia="楷体_GB2312" w:hint="eastAsia"/>
          <w:color w:val="000000"/>
          <w:sz w:val="24"/>
        </w:rPr>
        <w:t>实验课成绩共30分，学时为30学时，平均每学时1分。即6学时实验的考核分数为6分，8学时实验的考核分数为8分。</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hint="eastAsia"/>
          <w:color w:val="000000"/>
          <w:sz w:val="24"/>
        </w:rPr>
      </w:pPr>
      <w:r>
        <w:rPr>
          <w:rFonts w:ascii="楷体_GB2312" w:eastAsia="楷体_GB2312" w:hint="eastAsia"/>
          <w:color w:val="000000"/>
          <w:sz w:val="24"/>
        </w:rPr>
        <w:t>实验态度：认真参加实验教学，遵守课堂纪律，不迟到不早退。遵守实验室规章制度。实验态度占该实验课成绩的比例为10%。</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hint="eastAsia"/>
          <w:color w:val="000000"/>
          <w:sz w:val="24"/>
        </w:rPr>
      </w:pPr>
      <w:r>
        <w:rPr>
          <w:rFonts w:ascii="楷体_GB2312" w:eastAsia="楷体_GB2312" w:hint="eastAsia"/>
          <w:color w:val="000000"/>
          <w:sz w:val="24"/>
        </w:rPr>
        <w:t>实验操作：认真做好课前预习。严格遵守仪器操作规程，如实记录实验数据，认真观察和分析实验现象。实验结束后将实验用品、仪器设备等整理复位。实验操作占该实验课成绩的比例为50%。</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hint="eastAsia"/>
          <w:color w:val="000000"/>
          <w:sz w:val="24"/>
        </w:rPr>
      </w:pPr>
      <w:r>
        <w:rPr>
          <w:rFonts w:ascii="楷体_GB2312" w:eastAsia="楷体_GB2312" w:hint="eastAsia"/>
          <w:color w:val="000000"/>
          <w:sz w:val="24"/>
        </w:rPr>
        <w:t>实验结果：独立分析实验结果，严禁抄袭和伪造实验数据。实验结果占实验课成绩的比例为10%。</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hint="eastAsia"/>
          <w:color w:val="000000"/>
          <w:sz w:val="24"/>
        </w:rPr>
      </w:pPr>
      <w:r>
        <w:rPr>
          <w:rFonts w:ascii="楷体_GB2312" w:eastAsia="楷体_GB2312" w:hint="eastAsia"/>
          <w:color w:val="000000"/>
          <w:sz w:val="24"/>
        </w:rPr>
        <w:t>实验报告：认真撰写实验报告，并按规定的时间和要求提交。实验报告中图表清晰、字迹工整、原始数据齐全、数据处理准确、讨论和分析问题简明扼要、表达清楚。实验报告占该实验课成绩的比例为30%。</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hint="eastAsia"/>
          <w:color w:val="000000"/>
          <w:sz w:val="24"/>
        </w:rPr>
      </w:pPr>
      <w:r>
        <w:rPr>
          <w:rFonts w:ascii="楷体_GB2312" w:eastAsia="楷体_GB2312" w:hint="eastAsia"/>
          <w:color w:val="000000"/>
          <w:sz w:val="24"/>
        </w:rPr>
        <w:t>缺交实验报告达五分之一，或缺做实验时数达五分之一，为实验成绩不及格。备注：精密仪器室等的管理与日常维护实验技术员学时20学时。</w:t>
      </w:r>
    </w:p>
    <w:p w:rsidR="006D6E5F" w:rsidRDefault="006D6E5F" w:rsidP="006D6E5F">
      <w:pPr>
        <w:overflowPunct w:val="0"/>
        <w:autoSpaceDE w:val="0"/>
        <w:autoSpaceDN w:val="0"/>
        <w:adjustRightInd w:val="0"/>
        <w:snapToGrid w:val="0"/>
        <w:spacing w:line="320" w:lineRule="exact"/>
        <w:ind w:firstLineChars="200" w:firstLine="482"/>
        <w:rPr>
          <w:rFonts w:ascii="楷体_GB2312" w:eastAsia="楷体_GB2312"/>
          <w:b/>
          <w:color w:val="000000"/>
          <w:sz w:val="24"/>
        </w:rPr>
      </w:pPr>
      <w:r>
        <w:rPr>
          <w:rFonts w:ascii="楷体_GB2312" w:eastAsia="楷体_GB2312" w:hint="eastAsia"/>
          <w:b/>
          <w:color w:val="000000"/>
          <w:sz w:val="24"/>
        </w:rPr>
        <w:t>15.执笔人</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color w:val="000000"/>
          <w:sz w:val="24"/>
        </w:rPr>
      </w:pPr>
      <w:r>
        <w:rPr>
          <w:rFonts w:ascii="楷体_GB2312" w:eastAsia="楷体_GB2312" w:hint="eastAsia"/>
          <w:color w:val="000000"/>
          <w:sz w:val="24"/>
        </w:rPr>
        <w:t>执笔人赵春芳副教授，参与编写人员有刘忠英教授、赵春芳副教授、胡秀丽副教授，孙严彤讲师和张沐新讲师。</w:t>
      </w:r>
    </w:p>
    <w:p w:rsidR="006D6E5F" w:rsidRDefault="006D6E5F" w:rsidP="006D6E5F">
      <w:pPr>
        <w:overflowPunct w:val="0"/>
        <w:autoSpaceDE w:val="0"/>
        <w:autoSpaceDN w:val="0"/>
        <w:adjustRightInd w:val="0"/>
        <w:snapToGrid w:val="0"/>
        <w:spacing w:line="320" w:lineRule="exact"/>
        <w:ind w:firstLineChars="200" w:firstLine="482"/>
        <w:rPr>
          <w:rFonts w:ascii="楷体_GB2312" w:eastAsia="楷体_GB2312"/>
          <w:b/>
          <w:color w:val="000000"/>
          <w:sz w:val="24"/>
        </w:rPr>
      </w:pPr>
      <w:r>
        <w:rPr>
          <w:rFonts w:ascii="楷体_GB2312" w:eastAsia="楷体_GB2312" w:hint="eastAsia"/>
          <w:b/>
          <w:color w:val="000000"/>
          <w:sz w:val="24"/>
        </w:rPr>
        <w:t>16.制定日期</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color w:val="000000"/>
          <w:sz w:val="24"/>
        </w:rPr>
      </w:pPr>
      <w:r>
        <w:rPr>
          <w:rFonts w:ascii="楷体_GB2312" w:eastAsia="楷体_GB2312" w:hint="eastAsia"/>
          <w:color w:val="000000"/>
          <w:sz w:val="24"/>
        </w:rPr>
        <w:t>20131020</w:t>
      </w:r>
    </w:p>
    <w:p w:rsidR="006D6E5F" w:rsidRDefault="006D6E5F" w:rsidP="006D6E5F">
      <w:pPr>
        <w:overflowPunct w:val="0"/>
        <w:autoSpaceDE w:val="0"/>
        <w:autoSpaceDN w:val="0"/>
        <w:adjustRightInd w:val="0"/>
        <w:snapToGrid w:val="0"/>
        <w:spacing w:line="320" w:lineRule="exact"/>
        <w:ind w:firstLineChars="200" w:firstLine="482"/>
        <w:rPr>
          <w:rFonts w:ascii="楷体_GB2312" w:eastAsia="楷体_GB2312"/>
          <w:b/>
          <w:color w:val="000000"/>
          <w:sz w:val="24"/>
        </w:rPr>
      </w:pPr>
      <w:r>
        <w:rPr>
          <w:rFonts w:ascii="楷体_GB2312" w:eastAsia="楷体_GB2312" w:hint="eastAsia"/>
          <w:b/>
          <w:color w:val="000000"/>
          <w:sz w:val="24"/>
        </w:rPr>
        <w:t>17.审核人</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color w:val="000000"/>
          <w:sz w:val="24"/>
        </w:rPr>
      </w:pPr>
      <w:r>
        <w:rPr>
          <w:rFonts w:ascii="楷体_GB2312" w:eastAsia="楷体_GB2312" w:hint="eastAsia"/>
          <w:color w:val="000000"/>
          <w:sz w:val="24"/>
        </w:rPr>
        <w:t>刘忠英教授</w:t>
      </w:r>
    </w:p>
    <w:p w:rsidR="006D6E5F" w:rsidRDefault="006D6E5F" w:rsidP="006D6E5F">
      <w:pPr>
        <w:overflowPunct w:val="0"/>
        <w:autoSpaceDE w:val="0"/>
        <w:autoSpaceDN w:val="0"/>
        <w:adjustRightInd w:val="0"/>
        <w:snapToGrid w:val="0"/>
        <w:spacing w:line="320" w:lineRule="exact"/>
        <w:ind w:firstLineChars="200" w:firstLine="482"/>
        <w:rPr>
          <w:rFonts w:ascii="楷体_GB2312" w:eastAsia="楷体_GB2312"/>
          <w:b/>
          <w:color w:val="000000"/>
          <w:sz w:val="24"/>
        </w:rPr>
      </w:pPr>
      <w:r>
        <w:rPr>
          <w:rFonts w:ascii="楷体_GB2312" w:eastAsia="楷体_GB2312" w:hint="eastAsia"/>
          <w:b/>
          <w:color w:val="000000"/>
          <w:sz w:val="24"/>
        </w:rPr>
        <w:t>18.审核日期</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color w:val="000000"/>
          <w:sz w:val="24"/>
        </w:rPr>
      </w:pPr>
      <w:r>
        <w:rPr>
          <w:rFonts w:ascii="楷体_GB2312" w:eastAsia="楷体_GB2312" w:hint="eastAsia"/>
          <w:color w:val="000000"/>
          <w:sz w:val="24"/>
        </w:rPr>
        <w:t>20131027</w:t>
      </w:r>
    </w:p>
    <w:p w:rsidR="006D6E5F" w:rsidRDefault="006D6E5F" w:rsidP="006D6E5F">
      <w:pPr>
        <w:overflowPunct w:val="0"/>
        <w:autoSpaceDE w:val="0"/>
        <w:autoSpaceDN w:val="0"/>
        <w:adjustRightInd w:val="0"/>
        <w:snapToGrid w:val="0"/>
        <w:spacing w:line="320" w:lineRule="exact"/>
        <w:ind w:firstLineChars="200" w:firstLine="482"/>
        <w:rPr>
          <w:rFonts w:ascii="楷体_GB2312" w:eastAsia="楷体_GB2312"/>
          <w:b/>
          <w:color w:val="000000"/>
          <w:sz w:val="24"/>
        </w:rPr>
      </w:pPr>
      <w:r>
        <w:rPr>
          <w:rFonts w:ascii="楷体_GB2312" w:eastAsia="楷体_GB2312" w:hint="eastAsia"/>
          <w:b/>
          <w:color w:val="000000"/>
          <w:sz w:val="24"/>
        </w:rPr>
        <w:t>19.学院审定程序说明</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hint="eastAsia"/>
          <w:color w:val="000000"/>
          <w:sz w:val="24"/>
        </w:rPr>
      </w:pPr>
      <w:r>
        <w:rPr>
          <w:rFonts w:ascii="楷体_GB2312" w:eastAsia="楷体_GB2312" w:hint="eastAsia"/>
          <w:color w:val="000000"/>
          <w:sz w:val="24"/>
        </w:rPr>
        <w:t>大纲制定完毕后首先由学院教学指导委员对实验内容进行审定，然后由负责该实验的实验中心对耗材及价格进行审定。</w:t>
      </w:r>
    </w:p>
    <w:p w:rsidR="006D6E5F" w:rsidRDefault="006D6E5F" w:rsidP="006D6E5F">
      <w:pPr>
        <w:overflowPunct w:val="0"/>
        <w:autoSpaceDE w:val="0"/>
        <w:autoSpaceDN w:val="0"/>
        <w:adjustRightInd w:val="0"/>
        <w:snapToGrid w:val="0"/>
        <w:spacing w:line="320" w:lineRule="exact"/>
        <w:ind w:firstLineChars="200" w:firstLine="482"/>
        <w:rPr>
          <w:rFonts w:ascii="楷体_GB2312" w:eastAsia="楷体_GB2312" w:hint="eastAsia"/>
          <w:b/>
          <w:color w:val="000000"/>
          <w:sz w:val="24"/>
        </w:rPr>
      </w:pPr>
      <w:r>
        <w:rPr>
          <w:rFonts w:ascii="楷体_GB2312" w:eastAsia="楷体_GB2312" w:hint="eastAsia"/>
          <w:b/>
          <w:color w:val="000000"/>
          <w:sz w:val="24"/>
        </w:rPr>
        <w:t>20．学院审定日期</w:t>
      </w:r>
    </w:p>
    <w:p w:rsidR="006D6E5F" w:rsidRDefault="006D6E5F" w:rsidP="006D6E5F">
      <w:pPr>
        <w:overflowPunct w:val="0"/>
        <w:autoSpaceDE w:val="0"/>
        <w:autoSpaceDN w:val="0"/>
        <w:adjustRightInd w:val="0"/>
        <w:snapToGrid w:val="0"/>
        <w:spacing w:line="320" w:lineRule="exact"/>
        <w:ind w:firstLineChars="200" w:firstLine="480"/>
        <w:rPr>
          <w:rFonts w:ascii="楷体_GB2312" w:eastAsia="楷体_GB2312" w:hint="eastAsia"/>
          <w:color w:val="000000"/>
          <w:sz w:val="24"/>
        </w:rPr>
      </w:pPr>
      <w:r>
        <w:rPr>
          <w:rFonts w:ascii="楷体_GB2312" w:eastAsia="楷体_GB2312" w:hint="eastAsia"/>
          <w:color w:val="000000"/>
          <w:sz w:val="24"/>
        </w:rPr>
        <w:t>20131120</w:t>
      </w:r>
    </w:p>
    <w:p w:rsidR="006D6E5F" w:rsidRDefault="006D6E5F" w:rsidP="006D6E5F">
      <w:pPr>
        <w:adjustRightInd w:val="0"/>
        <w:snapToGrid w:val="0"/>
        <w:spacing w:line="320" w:lineRule="exact"/>
        <w:ind w:firstLineChars="200" w:firstLine="480"/>
        <w:rPr>
          <w:rFonts w:ascii="楷体_GB2312" w:eastAsia="楷体_GB2312" w:hAnsi="楷体"/>
          <w:bCs/>
          <w:color w:val="000000"/>
          <w:kern w:val="44"/>
          <w:sz w:val="24"/>
        </w:rPr>
      </w:pPr>
    </w:p>
    <w:p w:rsidR="006D6E5F" w:rsidRDefault="006D6E5F" w:rsidP="006D6E5F">
      <w:pPr>
        <w:autoSpaceDE w:val="0"/>
        <w:autoSpaceDN w:val="0"/>
        <w:adjustRightInd w:val="0"/>
        <w:snapToGrid w:val="0"/>
        <w:jc w:val="center"/>
        <w:rPr>
          <w:rFonts w:ascii="宋体" w:hAnsi="宋体"/>
          <w:b/>
          <w:color w:val="000000"/>
          <w:sz w:val="32"/>
          <w:szCs w:val="32"/>
        </w:rPr>
      </w:pPr>
      <w:r>
        <w:rPr>
          <w:rFonts w:ascii="宋体" w:hAnsi="宋体"/>
          <w:b/>
          <w:color w:val="000000"/>
          <w:sz w:val="32"/>
          <w:szCs w:val="32"/>
        </w:rPr>
        <w:br w:type="page"/>
      </w:r>
      <w:r>
        <w:rPr>
          <w:rFonts w:ascii="宋体" w:hAnsi="宋体" w:hint="eastAsia"/>
          <w:b/>
          <w:color w:val="000000"/>
          <w:sz w:val="32"/>
          <w:szCs w:val="32"/>
        </w:rPr>
        <w:lastRenderedPageBreak/>
        <w:t>药物分析学Ⅰ(732005)实验项目卡1</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270"/>
      </w:tblGrid>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jc w:val="center"/>
              <w:rPr>
                <w:rFonts w:ascii="仿宋_GB2312" w:eastAsia="仿宋_GB2312" w:hAnsi="楷体" w:hint="eastAsia"/>
                <w:b/>
                <w:bCs/>
                <w:color w:val="000000"/>
                <w:kern w:val="44"/>
                <w:szCs w:val="21"/>
              </w:rPr>
            </w:pPr>
            <w:r>
              <w:rPr>
                <w:rFonts w:ascii="仿宋_GB2312" w:eastAsia="仿宋_GB2312" w:hAnsi="楷体" w:hint="eastAsia"/>
                <w:b/>
                <w:bCs/>
                <w:color w:val="000000"/>
                <w:kern w:val="44"/>
                <w:szCs w:val="21"/>
              </w:rPr>
              <w:t>填写内容</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7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药物分析学I</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732005</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7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药用葡萄糖杂质检查</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73200501</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0</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8学时</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必做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掌握一般杂质检查的目的和原理，熟悉杂质检查的操作方法。</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对药用葡萄糖进行一般杂质的各项下检查。溶液澄清度检查、氯化物检查、蛋白质检查、重金属检查、铁盐检查和砷盐检查等。</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利用浊度检测不溶性杂质,氯离子与银离子生成沉淀控制氯化物的检查,蛋白质与酸变性生产沉淀,以铅离子为对照控制重金属的量,采用古蔡氏法检查砷盐.</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rPr>
                <w:rFonts w:ascii="楷体" w:eastAsia="楷体" w:hAnsi="楷体" w:cs="宋体" w:hint="eastAsia"/>
                <w:color w:val="000000"/>
                <w:kern w:val="0"/>
                <w:sz w:val="24"/>
              </w:rPr>
            </w:pPr>
            <w:r>
              <w:rPr>
                <w:rFonts w:ascii="楷体" w:eastAsia="楷体" w:hAnsi="楷体" w:cs="宋体" w:hint="eastAsia"/>
                <w:color w:val="000000"/>
                <w:kern w:val="0"/>
                <w:sz w:val="24"/>
              </w:rPr>
              <w:t>1.演示性□；2.验证性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；3.综合性□；4.设计性□；5.研究性□。</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本科生</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电子天平（0.01mg），电子天平（0.01g），恒温干燥箱，气流烘干器，电冰箱，恒温水浴箱，电磁炉，蒸馏水器，超声波清洗器，电炉子等</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15套</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200109</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药学院</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73</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药学实验中心</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133101</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药物分析室</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药学院410</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脱脂棉0.5卷、滤纸0.5本、药用葡萄糖100g、硫代乙酰胺10g、溴化钾200g、碘化钾200g、氯化亚锡200g、锌粒10、醋酸铅100g、溴化汞20g等</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267.90元</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药学专业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赵春芳副教授</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rPr>
                <w:rFonts w:ascii="楷体" w:eastAsia="楷体" w:hAnsi="楷体"/>
                <w:bCs/>
                <w:color w:val="000000"/>
                <w:kern w:val="44"/>
                <w:sz w:val="24"/>
              </w:rPr>
            </w:pPr>
            <w:r>
              <w:rPr>
                <w:rFonts w:ascii="楷体" w:eastAsia="楷体" w:hAnsi="楷体" w:hint="eastAsia"/>
                <w:bCs/>
                <w:color w:val="000000"/>
                <w:kern w:val="44"/>
                <w:sz w:val="24"/>
              </w:rPr>
              <w:t>刘忠英教授</w:t>
            </w:r>
          </w:p>
        </w:tc>
      </w:tr>
    </w:tbl>
    <w:p w:rsidR="006D6E5F" w:rsidRDefault="006D6E5F" w:rsidP="006D6E5F">
      <w:pPr>
        <w:autoSpaceDE w:val="0"/>
        <w:autoSpaceDN w:val="0"/>
        <w:adjustRightInd w:val="0"/>
        <w:snapToGrid w:val="0"/>
        <w:jc w:val="center"/>
        <w:rPr>
          <w:rFonts w:ascii="宋体" w:hAnsi="宋体" w:hint="eastAsia"/>
          <w:color w:val="000000"/>
          <w:sz w:val="32"/>
          <w:szCs w:val="32"/>
        </w:rPr>
      </w:pPr>
      <w:r>
        <w:rPr>
          <w:rFonts w:ascii="楷体" w:eastAsia="楷体" w:hAnsi="楷体" w:hint="eastAsia"/>
          <w:b/>
          <w:color w:val="000000"/>
          <w:sz w:val="24"/>
        </w:rPr>
        <w:br w:type="page"/>
      </w:r>
      <w:r>
        <w:rPr>
          <w:rFonts w:ascii="宋体" w:hAnsi="宋体" w:hint="eastAsia"/>
          <w:b/>
          <w:color w:val="000000"/>
          <w:sz w:val="32"/>
          <w:szCs w:val="32"/>
        </w:rPr>
        <w:lastRenderedPageBreak/>
        <w:t>药物分析学Ⅰ(732005)实验项目卡2</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270"/>
      </w:tblGrid>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jc w:val="center"/>
              <w:rPr>
                <w:rFonts w:ascii="仿宋_GB2312" w:eastAsia="仿宋_GB2312" w:hAnsi="楷体" w:hint="eastAsia"/>
                <w:b/>
                <w:bCs/>
                <w:color w:val="000000"/>
                <w:kern w:val="44"/>
                <w:szCs w:val="21"/>
              </w:rPr>
            </w:pPr>
            <w:r>
              <w:rPr>
                <w:rFonts w:ascii="仿宋_GB2312" w:eastAsia="仿宋_GB2312" w:hAnsi="楷体" w:hint="eastAsia"/>
                <w:b/>
                <w:bCs/>
                <w:color w:val="000000"/>
                <w:kern w:val="44"/>
                <w:szCs w:val="21"/>
              </w:rPr>
              <w:t>填写内容</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7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药物分析学I</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732005</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7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药物中特殊杂质检查</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73200502</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0</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6学时</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必做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掌握药物特殊杂质检查原理以及特殊杂质检查的一般操作.</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典型药物的特殊杂质检查,阿司匹林中游离水杨酸的检查和氢化可的松中其它甾体的检查。</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根据药物特殊杂质的来源及性质利用比色法及薄层层析法检查特殊杂质及有关物质。</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pacing w:line="6" w:lineRule="atLeast"/>
              <w:rPr>
                <w:rFonts w:ascii="楷体" w:eastAsia="楷体" w:hAnsi="楷体" w:cs="宋体" w:hint="eastAsia"/>
                <w:color w:val="000000"/>
                <w:kern w:val="0"/>
                <w:sz w:val="24"/>
              </w:rPr>
            </w:pPr>
            <w:r>
              <w:rPr>
                <w:rFonts w:ascii="楷体" w:eastAsia="楷体" w:hAnsi="楷体" w:cs="宋体" w:hint="eastAsia"/>
                <w:color w:val="000000"/>
                <w:kern w:val="0"/>
                <w:sz w:val="24"/>
              </w:rPr>
              <w:t>1.演示性□；2.验证性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；3.综合性□；4.设计性□；5.研究性□。</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本科生</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电子天平（0.01mg），电子天平（0.01g），恒温干燥箱，电冰箱，蒸馏水器，超声波清洗器，喷壶，比色管等</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15套</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200109</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药学实验中心</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133101</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药物分析室</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药学院410</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硅胶G薄层板4个,药用阿司匹林1g,乙醇100ml,盐酸100ml,硫酸铁铵50g,水杨酸50g,氯仿100ml,甲醇50ml,二氯甲烷100ml,四氮唑蓝1g等</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188.30元</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药学专业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赵春芳副教授</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刘忠英教授</w:t>
            </w:r>
          </w:p>
        </w:tc>
      </w:tr>
    </w:tbl>
    <w:p w:rsidR="006D6E5F" w:rsidRDefault="006D6E5F" w:rsidP="006D6E5F">
      <w:pPr>
        <w:autoSpaceDE w:val="0"/>
        <w:autoSpaceDN w:val="0"/>
        <w:adjustRightInd w:val="0"/>
        <w:snapToGrid w:val="0"/>
        <w:jc w:val="center"/>
        <w:rPr>
          <w:rFonts w:ascii="宋体" w:hAnsi="宋体" w:hint="eastAsia"/>
          <w:color w:val="000000"/>
          <w:sz w:val="32"/>
          <w:szCs w:val="32"/>
        </w:rPr>
      </w:pPr>
      <w:r>
        <w:rPr>
          <w:rFonts w:ascii="楷体" w:eastAsia="楷体" w:hAnsi="楷体" w:hint="eastAsia"/>
          <w:b/>
          <w:color w:val="000000"/>
          <w:sz w:val="24"/>
        </w:rPr>
        <w:br w:type="page"/>
      </w:r>
      <w:r>
        <w:rPr>
          <w:rFonts w:ascii="宋体" w:hAnsi="宋体" w:hint="eastAsia"/>
          <w:b/>
          <w:color w:val="000000"/>
          <w:sz w:val="32"/>
          <w:szCs w:val="32"/>
        </w:rPr>
        <w:lastRenderedPageBreak/>
        <w:t>药物分析学Ⅰ(732005)实验项目卡3</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270"/>
      </w:tblGrid>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jc w:val="center"/>
              <w:rPr>
                <w:rFonts w:ascii="仿宋_GB2312" w:eastAsia="仿宋_GB2312" w:hAnsi="楷体" w:hint="eastAsia"/>
                <w:b/>
                <w:bCs/>
                <w:color w:val="000000"/>
                <w:kern w:val="44"/>
                <w:szCs w:val="21"/>
              </w:rPr>
            </w:pPr>
            <w:r>
              <w:rPr>
                <w:rFonts w:ascii="仿宋_GB2312" w:eastAsia="仿宋_GB2312" w:hAnsi="楷体" w:hint="eastAsia"/>
                <w:b/>
                <w:bCs/>
                <w:color w:val="000000"/>
                <w:kern w:val="44"/>
                <w:szCs w:val="21"/>
              </w:rPr>
              <w:t>填写内容</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7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药物分析学I</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732005</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7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原子吸收分光光度法检查</w:t>
            </w:r>
            <w:proofErr w:type="spellStart"/>
            <w:r>
              <w:rPr>
                <w:rFonts w:ascii="楷体" w:eastAsia="楷体" w:hAnsi="楷体" w:hint="eastAsia"/>
                <w:bCs/>
                <w:color w:val="000000"/>
                <w:kern w:val="44"/>
                <w:sz w:val="24"/>
              </w:rPr>
              <w:t>Vc</w:t>
            </w:r>
            <w:proofErr w:type="spellEnd"/>
            <w:r>
              <w:rPr>
                <w:rFonts w:ascii="楷体" w:eastAsia="楷体" w:hAnsi="楷体" w:hint="eastAsia"/>
                <w:bCs/>
                <w:color w:val="000000"/>
                <w:kern w:val="44"/>
                <w:sz w:val="24"/>
              </w:rPr>
              <w:t>中铁和铜离子含量</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73200503</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0</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8学时</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必做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掌握原子吸收分光光度法的一般操作，熟悉不同元素的应用线性范围，了解原子吸收分光光度法。</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利用原子吸收分光光度计检查</w:t>
            </w:r>
            <w:proofErr w:type="spellStart"/>
            <w:r>
              <w:rPr>
                <w:rFonts w:ascii="楷体" w:eastAsia="楷体" w:hAnsi="楷体" w:hint="eastAsia"/>
                <w:bCs/>
                <w:color w:val="000000"/>
                <w:kern w:val="44"/>
                <w:sz w:val="24"/>
              </w:rPr>
              <w:t>Vc</w:t>
            </w:r>
            <w:proofErr w:type="spellEnd"/>
            <w:r>
              <w:rPr>
                <w:rFonts w:ascii="楷体" w:eastAsia="楷体" w:hAnsi="楷体" w:hint="eastAsia"/>
                <w:bCs/>
                <w:color w:val="000000"/>
                <w:kern w:val="44"/>
                <w:sz w:val="24"/>
              </w:rPr>
              <w:t>中的铜和铁元素的含量。</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由待测元素灯发出的特征谱线通过供试品蒸气时，被蒸气中待测元素的基态原子所吸收，吸收遵循一般分光光度法的吸收定律，通过测定辐射光强度减弱的程度可求出供试品中待测元素的含量。</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pacing w:line="6" w:lineRule="atLeast"/>
              <w:rPr>
                <w:rFonts w:ascii="楷体" w:eastAsia="楷体" w:hAnsi="楷体" w:cs="宋体" w:hint="eastAsia"/>
                <w:color w:val="000000"/>
                <w:kern w:val="0"/>
                <w:sz w:val="24"/>
              </w:rPr>
            </w:pPr>
            <w:r>
              <w:rPr>
                <w:rFonts w:ascii="楷体" w:eastAsia="楷体" w:hAnsi="楷体" w:cs="宋体" w:hint="eastAsia"/>
                <w:color w:val="000000"/>
                <w:kern w:val="0"/>
                <w:sz w:val="24"/>
              </w:rPr>
              <w:t>1.演示性□；2.验证性□；3.综合性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；4.设计性□；5.研究性□。</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本科生</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原子吸收分光光度计，电子天平（0.01mg），恒温干燥箱、气流烘干器，电冰箱，恒温水浴箱，电磁炉，超纯水器，循环水泵，超声波清洗器，元素灯，乙炔气，空气发生器等</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1套</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200308</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药学实验中心</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133101</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药物分析室，精密仪器室</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药学院410+510</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硫酸铁铵100g，硫酸铜100g，硝酸100ml，一次性注射器5个，维生素C 20g， 滤纸0.5本，胶头滴管5个，超纯水500ml等</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166.80元</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药学院药学专业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赵春芳副教授</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刘忠英教授</w:t>
            </w:r>
          </w:p>
        </w:tc>
      </w:tr>
    </w:tbl>
    <w:p w:rsidR="006D6E5F" w:rsidRDefault="006D6E5F" w:rsidP="006D6E5F">
      <w:pPr>
        <w:adjustRightInd w:val="0"/>
        <w:snapToGrid w:val="0"/>
        <w:rPr>
          <w:rFonts w:ascii="楷体" w:eastAsia="楷体" w:hAnsi="楷体" w:hint="eastAsia"/>
          <w:color w:val="000000"/>
          <w:sz w:val="24"/>
        </w:rPr>
      </w:pPr>
    </w:p>
    <w:p w:rsidR="006D6E5F" w:rsidRDefault="006D6E5F" w:rsidP="006D6E5F">
      <w:pPr>
        <w:autoSpaceDE w:val="0"/>
        <w:autoSpaceDN w:val="0"/>
        <w:adjustRightInd w:val="0"/>
        <w:snapToGrid w:val="0"/>
        <w:jc w:val="center"/>
        <w:rPr>
          <w:rFonts w:ascii="宋体" w:hAnsi="宋体" w:hint="eastAsia"/>
          <w:b/>
          <w:color w:val="000000"/>
          <w:sz w:val="32"/>
          <w:szCs w:val="32"/>
        </w:rPr>
      </w:pPr>
      <w:r>
        <w:rPr>
          <w:rFonts w:ascii="楷体" w:eastAsia="楷体" w:hAnsi="楷体" w:hint="eastAsia"/>
          <w:color w:val="000000"/>
          <w:sz w:val="24"/>
        </w:rPr>
        <w:br w:type="page"/>
      </w:r>
      <w:r>
        <w:rPr>
          <w:rFonts w:ascii="宋体" w:hAnsi="宋体" w:hint="eastAsia"/>
          <w:b/>
          <w:color w:val="000000"/>
          <w:sz w:val="32"/>
          <w:szCs w:val="32"/>
        </w:rPr>
        <w:lastRenderedPageBreak/>
        <w:t>药物分析学Ⅰ(732005)实验项目卡4</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270"/>
      </w:tblGrid>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jc w:val="center"/>
              <w:rPr>
                <w:rFonts w:ascii="仿宋_GB2312" w:eastAsia="仿宋_GB2312" w:hAnsi="楷体" w:hint="eastAsia"/>
                <w:b/>
                <w:bCs/>
                <w:color w:val="000000"/>
                <w:kern w:val="44"/>
                <w:szCs w:val="21"/>
              </w:rPr>
            </w:pPr>
            <w:r>
              <w:rPr>
                <w:rFonts w:ascii="仿宋_GB2312" w:eastAsia="仿宋_GB2312" w:hAnsi="楷体" w:hint="eastAsia"/>
                <w:b/>
                <w:bCs/>
                <w:color w:val="000000"/>
                <w:kern w:val="44"/>
                <w:szCs w:val="21"/>
              </w:rPr>
              <w:t>填写内容</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7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药物分析学I</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732005</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7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紫外-可见分光光度法测定对乙酰氨基酚片含量的方法学研究</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73200504</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0</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8学时</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必做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1.掌握验证分析方法的效能指标内容和要求。</w:t>
            </w:r>
          </w:p>
          <w:p w:rsidR="006D6E5F" w:rsidRDefault="006D6E5F" w:rsidP="0063328B">
            <w:pPr>
              <w:adjustRightInd w:val="0"/>
              <w:snapToGrid w:val="0"/>
              <w:spacing w:line="320" w:lineRule="exact"/>
              <w:rPr>
                <w:rFonts w:ascii="楷体" w:eastAsia="楷体" w:hAnsi="楷体" w:hint="eastAsia"/>
                <w:bCs/>
                <w:color w:val="000000"/>
                <w:kern w:val="44"/>
                <w:sz w:val="24"/>
              </w:rPr>
            </w:pPr>
            <w:r>
              <w:rPr>
                <w:rFonts w:ascii="楷体" w:eastAsia="楷体" w:hAnsi="楷体" w:hint="eastAsia"/>
                <w:bCs/>
                <w:color w:val="000000"/>
                <w:kern w:val="44"/>
                <w:sz w:val="24"/>
              </w:rPr>
              <w:t>2.熟悉建立分析方法的基本思路。</w:t>
            </w:r>
          </w:p>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3.掌握紫外-可见分光光度法的原理及操作。</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1.线性与浓度范围。2.供试品测定法。</w:t>
            </w:r>
          </w:p>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3.回收率试验。4.精密度试验。</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对乙酰氨基酚结构中含有苯环共轭系统，在0.4%氢氧化钠溶液中，于257nm波长处有最大吸收，其吸收系数为E1%1cm715。</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pacing w:line="6" w:lineRule="atLeast"/>
              <w:rPr>
                <w:rFonts w:ascii="楷体" w:eastAsia="楷体" w:hAnsi="楷体" w:cs="宋体" w:hint="eastAsia"/>
                <w:color w:val="000000"/>
                <w:kern w:val="0"/>
                <w:sz w:val="24"/>
              </w:rPr>
            </w:pPr>
            <w:r>
              <w:rPr>
                <w:rFonts w:ascii="楷体" w:eastAsia="楷体" w:hAnsi="楷体" w:cs="宋体" w:hint="eastAsia"/>
                <w:color w:val="000000"/>
                <w:kern w:val="0"/>
                <w:sz w:val="24"/>
              </w:rPr>
              <w:t>1.演示性□；2.验证性□；3.综合性□；4.设计性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；5.研究性□。</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本科生</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电子天平（0.01mg），电子天平（0.01g），紫外分光光度计恒温干燥箱，气流烘干器，蒸馏水器，超声波清洗器，研钵、容量瓶，石英比色皿等</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4套</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201405</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药学实验中心</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133101</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药物分析室，精密仪器室</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药学院410+510</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对乙酰氨基酚片10片、对乙酰氨基酚对照品20ml，氢氧化钠20g，滤纸5张，蒸馏水500ml等</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80元</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药学院药学专业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赵春芳副教授</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刘忠英教授</w:t>
            </w:r>
          </w:p>
        </w:tc>
      </w:tr>
    </w:tbl>
    <w:p w:rsidR="006D6E5F" w:rsidRDefault="006D6E5F" w:rsidP="006D6E5F">
      <w:pPr>
        <w:autoSpaceDE w:val="0"/>
        <w:autoSpaceDN w:val="0"/>
        <w:adjustRightInd w:val="0"/>
        <w:snapToGrid w:val="0"/>
        <w:jc w:val="center"/>
        <w:rPr>
          <w:rFonts w:ascii="宋体" w:hAnsi="宋体" w:hint="eastAsia"/>
          <w:b/>
          <w:color w:val="000000"/>
          <w:sz w:val="32"/>
          <w:szCs w:val="32"/>
        </w:rPr>
      </w:pPr>
      <w:r>
        <w:rPr>
          <w:rFonts w:ascii="楷体" w:eastAsia="楷体" w:hAnsi="楷体" w:hint="eastAsia"/>
          <w:color w:val="000000"/>
          <w:sz w:val="24"/>
        </w:rPr>
        <w:br w:type="page"/>
      </w:r>
      <w:r>
        <w:rPr>
          <w:rFonts w:ascii="宋体" w:hAnsi="宋体" w:hint="eastAsia"/>
          <w:b/>
          <w:color w:val="000000"/>
          <w:sz w:val="32"/>
          <w:szCs w:val="32"/>
        </w:rPr>
        <w:lastRenderedPageBreak/>
        <w:t>药物分析学I(732005)实验项目卡5</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991"/>
        <w:gridCol w:w="6105"/>
      </w:tblGrid>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jc w:val="center"/>
              <w:rPr>
                <w:rFonts w:ascii="仿宋_GB2312" w:eastAsia="仿宋_GB2312" w:hAnsi="楷体" w:hint="eastAsia"/>
                <w:b/>
                <w:bCs/>
                <w:color w:val="000000"/>
                <w:kern w:val="44"/>
                <w:szCs w:val="21"/>
              </w:rPr>
            </w:pPr>
            <w:r>
              <w:rPr>
                <w:rFonts w:ascii="仿宋_GB2312" w:eastAsia="仿宋_GB2312" w:hAnsi="楷体" w:hint="eastAsia"/>
                <w:b/>
                <w:bCs/>
                <w:color w:val="000000"/>
                <w:kern w:val="44"/>
                <w:szCs w:val="21"/>
              </w:rPr>
              <w:t>填写内容</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105"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药物分析学I</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732005</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105"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紫外分光光度法测定混合物中非那西汀和咖啡因的含量及蛋白质含量的测定</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73200505</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 xml:space="preserve">0 </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8学时</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必做</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1.掌握紫外可见分光光度计的正确使用；</w:t>
            </w:r>
          </w:p>
          <w:p w:rsidR="006D6E5F" w:rsidRDefault="006D6E5F" w:rsidP="0063328B">
            <w:pPr>
              <w:adjustRightInd w:val="0"/>
              <w:snapToGrid w:val="0"/>
              <w:spacing w:line="320" w:lineRule="exact"/>
              <w:rPr>
                <w:rFonts w:ascii="楷体" w:eastAsia="楷体" w:hAnsi="楷体" w:hint="eastAsia"/>
                <w:bCs/>
                <w:color w:val="000000"/>
                <w:kern w:val="44"/>
                <w:sz w:val="24"/>
              </w:rPr>
            </w:pPr>
            <w:r>
              <w:rPr>
                <w:rFonts w:ascii="楷体" w:eastAsia="楷体" w:hAnsi="楷体" w:hint="eastAsia"/>
                <w:bCs/>
                <w:color w:val="000000"/>
                <w:kern w:val="44"/>
                <w:sz w:val="24"/>
              </w:rPr>
              <w:t>2.掌握混合物中多组分的吸收峰相互重迭时，测各组分含量的分析方法。</w:t>
            </w:r>
          </w:p>
          <w:p w:rsidR="006D6E5F" w:rsidRDefault="006D6E5F" w:rsidP="0063328B">
            <w:pPr>
              <w:autoSpaceDE w:val="0"/>
              <w:autoSpaceDN w:val="0"/>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3.掌握紫外法测定蛋白质的方法及原理。</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1.掌握紫外分光光度计的使用和标准溶液的配制；</w:t>
            </w:r>
          </w:p>
          <w:p w:rsidR="006D6E5F" w:rsidRDefault="006D6E5F" w:rsidP="0063328B">
            <w:pPr>
              <w:adjustRightInd w:val="0"/>
              <w:snapToGrid w:val="0"/>
              <w:spacing w:line="320" w:lineRule="exact"/>
              <w:rPr>
                <w:rFonts w:ascii="楷体" w:eastAsia="楷体" w:hAnsi="楷体" w:hint="eastAsia"/>
                <w:bCs/>
                <w:color w:val="000000"/>
                <w:kern w:val="44"/>
                <w:sz w:val="24"/>
              </w:rPr>
            </w:pPr>
            <w:r>
              <w:rPr>
                <w:rFonts w:ascii="楷体" w:eastAsia="楷体" w:hAnsi="楷体" w:hint="eastAsia"/>
                <w:bCs/>
                <w:color w:val="000000"/>
                <w:kern w:val="44"/>
                <w:sz w:val="24"/>
              </w:rPr>
              <w:t>2.非那西汀和咖啡因吸收曲线的绘制；</w:t>
            </w:r>
          </w:p>
          <w:p w:rsidR="006D6E5F" w:rsidRDefault="006D6E5F" w:rsidP="0063328B">
            <w:pPr>
              <w:autoSpaceDE w:val="0"/>
              <w:autoSpaceDN w:val="0"/>
              <w:adjustRightInd w:val="0"/>
              <w:snapToGrid w:val="0"/>
              <w:spacing w:line="320" w:lineRule="exact"/>
              <w:rPr>
                <w:rFonts w:ascii="楷体" w:eastAsia="楷体" w:hAnsi="楷体" w:hint="eastAsia"/>
                <w:bCs/>
                <w:color w:val="000000"/>
                <w:kern w:val="44"/>
                <w:sz w:val="24"/>
              </w:rPr>
            </w:pPr>
            <w:r>
              <w:rPr>
                <w:rFonts w:ascii="楷体" w:eastAsia="楷体" w:hAnsi="楷体" w:hint="eastAsia"/>
                <w:bCs/>
                <w:color w:val="000000"/>
                <w:kern w:val="44"/>
                <w:sz w:val="24"/>
              </w:rPr>
              <w:t>3.光的加和性原理测定混合物中非那西汀和咖啡因含量；</w:t>
            </w:r>
          </w:p>
          <w:p w:rsidR="006D6E5F" w:rsidRDefault="006D6E5F" w:rsidP="0063328B">
            <w:pPr>
              <w:autoSpaceDE w:val="0"/>
              <w:autoSpaceDN w:val="0"/>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4.掌握利用紫外法测定蛋白质的方法及原理。</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在测定混合物中双组分时，根据吸光度的加和性原理，测定组分的吸光度。蛋白质溶液在280nm有强烈的吸收，在一定范围内其吸收值与浓度成正比关系，据此可以对蛋白质进行定量分析。</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pacing w:line="6" w:lineRule="atLeast"/>
              <w:rPr>
                <w:rFonts w:ascii="楷体" w:eastAsia="楷体" w:hAnsi="楷体" w:cs="宋体" w:hint="eastAsia"/>
                <w:color w:val="000000"/>
                <w:kern w:val="0"/>
                <w:sz w:val="24"/>
              </w:rPr>
            </w:pPr>
            <w:r>
              <w:rPr>
                <w:rFonts w:ascii="楷体" w:eastAsia="楷体" w:hAnsi="楷体" w:cs="宋体" w:hint="eastAsia"/>
                <w:color w:val="000000"/>
                <w:kern w:val="0"/>
                <w:sz w:val="24"/>
              </w:rPr>
              <w:t>1.演示性□；2.验证性□；3.综合性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；4.设计性□；5.研究性□。</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本科生</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紫外可见分光光度计，气流烘干器，超声波清洗器，恒温干燥箱，冰箱，石英比色皿等</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4套</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201505</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药学实验中心</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133101</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药物分析室，精密仪器室</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药学院410+510</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非那西汀0.1g，咖啡因0.1g，牛血清白蛋白0.1g，无水乙醇(AR) 100mL，镜头纸等</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150元</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药学专业</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赵春芳副教授</w:t>
            </w:r>
          </w:p>
        </w:tc>
      </w:tr>
      <w:tr w:rsidR="006D6E5F" w:rsidTr="0063328B">
        <w:trPr>
          <w:cantSplit/>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991"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105"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刘忠英教授</w:t>
            </w:r>
          </w:p>
        </w:tc>
      </w:tr>
    </w:tbl>
    <w:p w:rsidR="006D6E5F" w:rsidRDefault="006D6E5F" w:rsidP="006D6E5F">
      <w:pPr>
        <w:autoSpaceDE w:val="0"/>
        <w:autoSpaceDN w:val="0"/>
        <w:adjustRightInd w:val="0"/>
        <w:snapToGrid w:val="0"/>
        <w:jc w:val="center"/>
        <w:rPr>
          <w:rFonts w:ascii="宋体" w:hAnsi="宋体" w:hint="eastAsia"/>
          <w:color w:val="000000"/>
          <w:sz w:val="32"/>
          <w:szCs w:val="32"/>
        </w:rPr>
      </w:pPr>
      <w:r>
        <w:rPr>
          <w:rFonts w:ascii="宋体" w:hAnsi="宋体" w:hint="eastAsia"/>
          <w:b/>
          <w:color w:val="000000"/>
          <w:sz w:val="32"/>
          <w:szCs w:val="32"/>
        </w:rPr>
        <w:br w:type="page"/>
      </w:r>
      <w:r>
        <w:rPr>
          <w:rFonts w:ascii="宋体" w:hAnsi="宋体" w:hint="eastAsia"/>
          <w:b/>
          <w:color w:val="000000"/>
          <w:sz w:val="32"/>
          <w:szCs w:val="32"/>
        </w:rPr>
        <w:lastRenderedPageBreak/>
        <w:t>药物分析学Ⅰ(732005)实验项目卡6</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jc w:val="center"/>
              <w:rPr>
                <w:rFonts w:ascii="仿宋_GB2312" w:eastAsia="仿宋_GB2312" w:hAnsi="楷体" w:hint="eastAsia"/>
                <w:b/>
                <w:bCs/>
                <w:color w:val="000000"/>
                <w:kern w:val="44"/>
                <w:szCs w:val="21"/>
              </w:rPr>
            </w:pPr>
            <w:r>
              <w:rPr>
                <w:rFonts w:ascii="仿宋_GB2312" w:eastAsia="仿宋_GB2312" w:hAnsi="楷体" w:hint="eastAsia"/>
                <w:b/>
                <w:bCs/>
                <w:color w:val="000000"/>
                <w:kern w:val="44"/>
                <w:szCs w:val="21"/>
              </w:rPr>
              <w:t>填写内容</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71"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药物分析学I</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732005</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71"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肌苷的质量分析</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73200506</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0</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8学时</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选做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1．熟悉生物药品质量分析的程序；</w:t>
            </w:r>
          </w:p>
          <w:p w:rsidR="006D6E5F" w:rsidRDefault="006D6E5F" w:rsidP="0063328B">
            <w:pPr>
              <w:adjustRightInd w:val="0"/>
              <w:snapToGrid w:val="0"/>
              <w:spacing w:line="320" w:lineRule="exact"/>
              <w:rPr>
                <w:rFonts w:ascii="楷体" w:eastAsia="楷体" w:hAnsi="楷体" w:hint="eastAsia"/>
                <w:bCs/>
                <w:color w:val="000000"/>
                <w:kern w:val="44"/>
                <w:sz w:val="24"/>
              </w:rPr>
            </w:pPr>
            <w:r>
              <w:rPr>
                <w:rFonts w:ascii="楷体" w:eastAsia="楷体" w:hAnsi="楷体" w:hint="eastAsia"/>
                <w:bCs/>
                <w:color w:val="000000"/>
                <w:kern w:val="44"/>
                <w:sz w:val="24"/>
              </w:rPr>
              <w:t>2．掌握肌苷的鉴别方法及反应原理；</w:t>
            </w:r>
          </w:p>
          <w:p w:rsidR="006D6E5F" w:rsidRDefault="006D6E5F" w:rsidP="0063328B">
            <w:pPr>
              <w:autoSpaceDE w:val="0"/>
              <w:autoSpaceDN w:val="0"/>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3．掌握肌苷中特殊杂质检查及含量测定方法。</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ind w:firstLineChars="100" w:firstLine="240"/>
              <w:rPr>
                <w:rFonts w:ascii="楷体" w:eastAsia="楷体" w:hAnsi="楷体"/>
                <w:bCs/>
                <w:color w:val="000000"/>
                <w:kern w:val="44"/>
                <w:sz w:val="24"/>
              </w:rPr>
            </w:pPr>
            <w:r>
              <w:rPr>
                <w:rFonts w:ascii="楷体" w:eastAsia="楷体" w:hAnsi="楷体" w:hint="eastAsia"/>
                <w:bCs/>
                <w:color w:val="000000"/>
                <w:kern w:val="44"/>
                <w:sz w:val="24"/>
              </w:rPr>
              <w:t>依据药物分子的结构特点，掌握原料药物的质量分析的程序；鉴别方法原理、杂质检查及含量测定方法。</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肌苷属于核苷酸类药物，在酸性条件下，肌苷分子中的核糖基脱水转变为糠醛，与3，5—二羟基甲苯反应，生成绿色复合物。本品分子较强的紫外吸收，可用于鉴别和含量测定。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hint="eastAsia"/>
                <w:bCs/>
                <w:color w:val="000000"/>
                <w:kern w:val="44"/>
                <w:sz w:val="24"/>
              </w:rPr>
            </w:pPr>
            <w:r>
              <w:rPr>
                <w:rFonts w:ascii="楷体" w:eastAsia="楷体" w:hAnsi="楷体" w:hint="eastAsia"/>
                <w:bCs/>
                <w:color w:val="000000"/>
                <w:kern w:val="44"/>
                <w:sz w:val="24"/>
              </w:rPr>
              <w:t>1.演示性□；2.验证性</w:t>
            </w:r>
            <w:r>
              <w:rPr>
                <w:rFonts w:ascii="楷体" w:eastAsia="楷体" w:hAnsi="楷体" w:cs="宋体" w:hint="eastAsia"/>
                <w:color w:val="000000"/>
                <w:kern w:val="0"/>
                <w:sz w:val="18"/>
                <w:szCs w:val="18"/>
                <w:bdr w:val="single" w:sz="4" w:space="0" w:color="auto"/>
              </w:rPr>
              <w:t>√</w:t>
            </w:r>
            <w:r>
              <w:rPr>
                <w:rFonts w:ascii="楷体" w:eastAsia="楷体" w:hAnsi="楷体" w:hint="eastAsia"/>
                <w:bCs/>
                <w:color w:val="000000"/>
                <w:kern w:val="44"/>
                <w:sz w:val="24"/>
              </w:rPr>
              <w:t>；3.综合性□；4.设计性□；5.研究性□。</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本科生</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紫外分光光度计，冰箱，气流烘干器，超声波清洗器，蒸馏水器，254nm紫外灯等</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4台紫外分光光度计，2台254nm紫外灯，35套层析缸</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200305</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药学实验中心</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133101</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药物分析室，精密仪器室</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药学院410+510</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层析滤纸5张，10</w:t>
            </w:r>
            <w:r>
              <w:rPr>
                <w:rFonts w:ascii="楷体" w:eastAsia="楷体" w:hAnsi="楷体"/>
                <w:bCs/>
                <w:color w:val="000000"/>
                <w:kern w:val="44"/>
                <w:sz w:val="24"/>
              </w:rPr>
              <w:sym w:font="Symbol" w:char="006D"/>
            </w:r>
            <w:r>
              <w:rPr>
                <w:rFonts w:ascii="楷体" w:eastAsia="楷体" w:hAnsi="楷体" w:hint="eastAsia"/>
                <w:bCs/>
                <w:color w:val="000000"/>
                <w:kern w:val="44"/>
                <w:sz w:val="24"/>
              </w:rPr>
              <w:t>l点样毛细管5根，肌苷20mg，3，5-二羟基甲苯50g，硝酸银50g，次黄嘌呤10mg，三氯化铁50g，浓氨水50ml等</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71" w:type="dxa"/>
            <w:tcBorders>
              <w:top w:val="single" w:sz="4" w:space="0" w:color="auto"/>
              <w:left w:val="single" w:sz="4" w:space="0" w:color="auto"/>
              <w:bottom w:val="single" w:sz="4" w:space="0" w:color="auto"/>
              <w:right w:val="single" w:sz="4" w:space="0" w:color="auto"/>
            </w:tcBorders>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180元</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药学专业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赵春芳副教授</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5"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71"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刘忠英教授</w:t>
            </w:r>
          </w:p>
        </w:tc>
      </w:tr>
    </w:tbl>
    <w:p w:rsidR="006D6E5F" w:rsidRDefault="006D6E5F" w:rsidP="006D6E5F">
      <w:pPr>
        <w:autoSpaceDE w:val="0"/>
        <w:autoSpaceDN w:val="0"/>
        <w:adjustRightInd w:val="0"/>
        <w:snapToGrid w:val="0"/>
        <w:jc w:val="center"/>
        <w:rPr>
          <w:rFonts w:ascii="楷体" w:eastAsia="楷体" w:hAnsi="楷体" w:hint="eastAsia"/>
          <w:color w:val="000000"/>
          <w:sz w:val="24"/>
        </w:rPr>
      </w:pPr>
    </w:p>
    <w:p w:rsidR="006D6E5F" w:rsidRDefault="006D6E5F" w:rsidP="006D6E5F">
      <w:pPr>
        <w:autoSpaceDE w:val="0"/>
        <w:autoSpaceDN w:val="0"/>
        <w:adjustRightInd w:val="0"/>
        <w:snapToGrid w:val="0"/>
        <w:jc w:val="center"/>
        <w:rPr>
          <w:rFonts w:ascii="宋体" w:hAnsi="宋体" w:hint="eastAsia"/>
          <w:color w:val="000000"/>
          <w:sz w:val="32"/>
          <w:szCs w:val="32"/>
        </w:rPr>
      </w:pPr>
      <w:r>
        <w:rPr>
          <w:rFonts w:ascii="楷体" w:eastAsia="楷体" w:hAnsi="楷体" w:hint="eastAsia"/>
          <w:color w:val="000000"/>
          <w:sz w:val="24"/>
        </w:rPr>
        <w:br w:type="page"/>
      </w:r>
      <w:r>
        <w:rPr>
          <w:rFonts w:ascii="宋体" w:hAnsi="宋体" w:hint="eastAsia"/>
          <w:b/>
          <w:color w:val="000000"/>
          <w:sz w:val="32"/>
          <w:szCs w:val="32"/>
        </w:rPr>
        <w:lastRenderedPageBreak/>
        <w:t>药物分析学Ⅰ(732005)实验项目卡7</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270"/>
      </w:tblGrid>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jc w:val="center"/>
              <w:rPr>
                <w:rFonts w:ascii="仿宋_GB2312" w:eastAsia="仿宋_GB2312" w:hAnsi="楷体" w:hint="eastAsia"/>
                <w:b/>
                <w:bCs/>
                <w:color w:val="000000"/>
                <w:kern w:val="44"/>
                <w:szCs w:val="21"/>
              </w:rPr>
            </w:pPr>
            <w:r>
              <w:rPr>
                <w:rFonts w:ascii="仿宋_GB2312" w:eastAsia="仿宋_GB2312" w:hAnsi="楷体" w:hint="eastAsia"/>
                <w:b/>
                <w:bCs/>
                <w:color w:val="000000"/>
                <w:kern w:val="44"/>
                <w:szCs w:val="21"/>
              </w:rPr>
              <w:t>填写内容</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70"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药物分析学I</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732005</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70"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甲状腺片的含量测定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73200506</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0</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6学时</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选做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1.掌握氧瓶燃烧法的操作技术。</w:t>
            </w:r>
          </w:p>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2.熟悉有机碘或氯化物的测定原理。</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利用氧瓶燃烧法做样品处理后再进行含量测定，首先将样品置于充满氧气的燃烧瓶中进行然后扫，待燃烧产物被吸入吸收液后，再采用适宜的分析方法进行检查或测定。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甲状腺片在氧气中充分燃烧，有机物彻底破坏成二氧化碳和水，而有机结合碘在燃烧时转变为氢碘酸、游离碘和少量碘酸，用碱液吸收，再以溴水将游离碘和氢碘酸氧化成碘酸，在酸性条件下碘酸能氧化成碘，析出碘用硫代硫酸钠滴定，以淀粉为指示剂，进而计算甲状腺片的含量。</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pacing w:line="6" w:lineRule="atLeast"/>
              <w:rPr>
                <w:rFonts w:ascii="楷体" w:eastAsia="楷体" w:hAnsi="楷体" w:cs="宋体" w:hint="eastAsia"/>
                <w:color w:val="000000"/>
                <w:kern w:val="0"/>
                <w:sz w:val="24"/>
              </w:rPr>
            </w:pPr>
            <w:r>
              <w:rPr>
                <w:rFonts w:ascii="楷体" w:eastAsia="楷体" w:hAnsi="楷体" w:cs="宋体" w:hint="eastAsia"/>
                <w:color w:val="000000"/>
                <w:kern w:val="0"/>
                <w:sz w:val="24"/>
              </w:rPr>
              <w:t>1.演示性□；2.验证性□；3.综合性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；4.设计性□；5.研究性□。</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本科生</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电子天平（0.01mg）、恒温干燥箱、气流烘干器、恒温水浴箱、电磁炉、蒸馏水器等</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9套</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200109</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药学实验中心</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133101</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药物分析室</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药学院410</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甲状腺片20片，氢氧化钠10g，醋酸钾20g,冰醋酸50ml,溴10ml,甲酸20ml,碘化钾10g，硫代硫酸钠10g,可溶性淀粉10g,蒸馏水500ml</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220元</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药学专业</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赵春芳讲师</w:t>
            </w:r>
          </w:p>
        </w:tc>
      </w:tr>
      <w:tr w:rsidR="006D6E5F" w:rsidTr="0063328B">
        <w:trPr>
          <w:cantSplit/>
          <w:trHeight w:val="284"/>
        </w:trPr>
        <w:tc>
          <w:tcPr>
            <w:tcW w:w="41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6"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70"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刘忠英教授</w:t>
            </w:r>
          </w:p>
        </w:tc>
      </w:tr>
    </w:tbl>
    <w:p w:rsidR="006D6E5F" w:rsidRDefault="006D6E5F" w:rsidP="006D6E5F">
      <w:pPr>
        <w:autoSpaceDE w:val="0"/>
        <w:autoSpaceDN w:val="0"/>
        <w:adjustRightInd w:val="0"/>
        <w:snapToGrid w:val="0"/>
        <w:jc w:val="center"/>
        <w:rPr>
          <w:rFonts w:ascii="楷体" w:eastAsia="楷体" w:hAnsi="楷体" w:hint="eastAsia"/>
          <w:color w:val="000000"/>
          <w:sz w:val="24"/>
        </w:rPr>
      </w:pPr>
    </w:p>
    <w:p w:rsidR="006D6E5F" w:rsidRDefault="006D6E5F" w:rsidP="006D6E5F">
      <w:pPr>
        <w:autoSpaceDE w:val="0"/>
        <w:autoSpaceDN w:val="0"/>
        <w:adjustRightInd w:val="0"/>
        <w:snapToGrid w:val="0"/>
        <w:jc w:val="center"/>
        <w:rPr>
          <w:rFonts w:ascii="宋体" w:hAnsi="宋体" w:hint="eastAsia"/>
          <w:color w:val="000000"/>
          <w:sz w:val="32"/>
          <w:szCs w:val="32"/>
        </w:rPr>
      </w:pPr>
      <w:r>
        <w:rPr>
          <w:rFonts w:ascii="楷体" w:eastAsia="楷体" w:hAnsi="楷体" w:hint="eastAsia"/>
          <w:color w:val="000000"/>
          <w:sz w:val="24"/>
        </w:rPr>
        <w:br w:type="page"/>
      </w:r>
      <w:r>
        <w:rPr>
          <w:rFonts w:ascii="宋体" w:hAnsi="宋体" w:hint="eastAsia"/>
          <w:b/>
          <w:color w:val="000000"/>
          <w:sz w:val="32"/>
          <w:szCs w:val="32"/>
        </w:rPr>
        <w:lastRenderedPageBreak/>
        <w:t>药物分析学Ⅰ(732005)实验项目卡8</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8"/>
        <w:gridCol w:w="1822"/>
        <w:gridCol w:w="6266"/>
      </w:tblGrid>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No</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字段名</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jc w:val="center"/>
              <w:rPr>
                <w:rFonts w:ascii="仿宋_GB2312" w:eastAsia="仿宋_GB2312" w:hAnsi="楷体" w:hint="eastAsia"/>
                <w:b/>
                <w:bCs/>
                <w:color w:val="000000"/>
                <w:kern w:val="44"/>
                <w:szCs w:val="21"/>
              </w:rPr>
            </w:pPr>
            <w:r>
              <w:rPr>
                <w:rFonts w:ascii="仿宋_GB2312" w:eastAsia="仿宋_GB2312" w:hAnsi="楷体" w:hint="eastAsia"/>
                <w:b/>
                <w:bCs/>
                <w:color w:val="000000"/>
                <w:kern w:val="44"/>
                <w:szCs w:val="21"/>
              </w:rPr>
              <w:t>填写内容</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课程名称</w:t>
            </w:r>
          </w:p>
        </w:tc>
        <w:tc>
          <w:tcPr>
            <w:tcW w:w="6266"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药物分析学I</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课程编号</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732005</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3</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实验项目名称</w:t>
            </w:r>
          </w:p>
        </w:tc>
        <w:tc>
          <w:tcPr>
            <w:tcW w:w="6266" w:type="dxa"/>
            <w:tcBorders>
              <w:top w:val="single" w:sz="4" w:space="0" w:color="auto"/>
              <w:left w:val="single" w:sz="4" w:space="0" w:color="auto"/>
              <w:bottom w:val="single" w:sz="4" w:space="0" w:color="auto"/>
              <w:right w:val="single" w:sz="4" w:space="0" w:color="auto"/>
            </w:tcBorders>
            <w:tcMar>
              <w:top w:w="0" w:type="dxa"/>
              <w:left w:w="50" w:type="dxa"/>
              <w:bottom w:w="0" w:type="dxa"/>
              <w:right w:w="50" w:type="dxa"/>
            </w:tcMar>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液相质谱联用法测定唾液中对乙酰氨基酚的含量</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4</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实验项目编号</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73200508</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5</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网络实验</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0</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6</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每组人数</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2</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7</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计划学时数</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16学时</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8</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实验性质</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选做</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9</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实验目的</w:t>
            </w:r>
          </w:p>
        </w:tc>
        <w:tc>
          <w:tcPr>
            <w:tcW w:w="6266" w:type="dxa"/>
            <w:tcBorders>
              <w:top w:val="single" w:sz="4" w:space="0" w:color="auto"/>
              <w:left w:val="single" w:sz="4" w:space="0" w:color="auto"/>
              <w:bottom w:val="single" w:sz="4" w:space="0" w:color="auto"/>
              <w:right w:val="single" w:sz="4" w:space="0" w:color="auto"/>
            </w:tcBorders>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1.熟悉唾液中药物测定的一般步骤。</w:t>
            </w:r>
          </w:p>
          <w:p w:rsidR="006D6E5F" w:rsidRDefault="006D6E5F" w:rsidP="0063328B">
            <w:pPr>
              <w:adjustRightInd w:val="0"/>
              <w:snapToGrid w:val="0"/>
              <w:spacing w:line="320" w:lineRule="exact"/>
              <w:rPr>
                <w:rFonts w:ascii="楷体" w:eastAsia="楷体" w:hAnsi="楷体" w:hint="eastAsia"/>
                <w:bCs/>
                <w:color w:val="000000"/>
                <w:kern w:val="44"/>
                <w:sz w:val="24"/>
              </w:rPr>
            </w:pPr>
            <w:r>
              <w:rPr>
                <w:rFonts w:ascii="楷体" w:eastAsia="楷体" w:hAnsi="楷体" w:hint="eastAsia"/>
                <w:bCs/>
                <w:color w:val="000000"/>
                <w:kern w:val="44"/>
                <w:sz w:val="24"/>
              </w:rPr>
              <w:t>2.掌握液质联机测定对乙酰氨基酚的方法。</w:t>
            </w:r>
          </w:p>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3.了解液相质谱联用仪的原理和基本使用方法。</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10</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实验内容</w:t>
            </w:r>
          </w:p>
        </w:tc>
        <w:tc>
          <w:tcPr>
            <w:tcW w:w="6266" w:type="dxa"/>
            <w:tcBorders>
              <w:top w:val="single" w:sz="4" w:space="0" w:color="auto"/>
              <w:left w:val="single" w:sz="4" w:space="0" w:color="auto"/>
              <w:bottom w:val="single" w:sz="4" w:space="0" w:color="auto"/>
              <w:right w:val="single" w:sz="4" w:space="0" w:color="auto"/>
            </w:tcBorders>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利用液相质谱联用仪对不同时间点的唾液中的对乙酰氨基酚的含量进行测定。</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11</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实验原理</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利用液相质谱联用仪对不同时间点的唾液中的对乙酰氨基酚的含量进行测定。</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12</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实验类型</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pacing w:line="6" w:lineRule="atLeast"/>
              <w:rPr>
                <w:rFonts w:ascii="楷体" w:eastAsia="楷体" w:hAnsi="楷体" w:cs="宋体" w:hint="eastAsia"/>
                <w:color w:val="000000"/>
                <w:kern w:val="0"/>
                <w:sz w:val="24"/>
              </w:rPr>
            </w:pPr>
            <w:r>
              <w:rPr>
                <w:rFonts w:ascii="楷体" w:eastAsia="楷体" w:hAnsi="楷体" w:cs="宋体" w:hint="eastAsia"/>
                <w:color w:val="000000"/>
                <w:kern w:val="0"/>
                <w:sz w:val="24"/>
              </w:rPr>
              <w:t>1.演示性□；2.验证性□；3.综合性</w:t>
            </w:r>
            <w:r>
              <w:rPr>
                <w:rFonts w:ascii="楷体" w:eastAsia="楷体" w:hAnsi="楷体" w:cs="宋体" w:hint="eastAsia"/>
                <w:color w:val="000000"/>
                <w:kern w:val="0"/>
                <w:sz w:val="18"/>
                <w:szCs w:val="18"/>
                <w:bdr w:val="single" w:sz="4" w:space="0" w:color="auto"/>
              </w:rPr>
              <w:t>√</w:t>
            </w:r>
            <w:r>
              <w:rPr>
                <w:rFonts w:ascii="楷体" w:eastAsia="楷体" w:hAnsi="楷体" w:cs="宋体" w:hint="eastAsia"/>
                <w:color w:val="000000"/>
                <w:kern w:val="0"/>
                <w:sz w:val="24"/>
              </w:rPr>
              <w:t>；4.设计性□；5.研究性□。</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13</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实验者层次</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本科生</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14</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实验仪器设备</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电子天平（0.01mg）、HPLC-MS联用仪、恒温干燥想、气流烘干器、电冰箱、高速离心机、涡流器、蒸馏水器、超声波清洗器等</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15</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实验套数</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0套</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16</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开出时间</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201605</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17</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教学单位名称</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18</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教学单位编号</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73</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19</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实验单位名称</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药学实验中心</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20</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实验中心编号</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133101</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21</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实验地名称</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药物分析室</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22</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实验地编号</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药学院410</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23</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一次性材料品名</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乙腈200ml、甲醇200ml、醋酸铵50g、 超纯水500ml等</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24</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一次性材料</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180元</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25</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面向专业</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药学专业</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26</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实验项目卡制定人</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赵春芳副教授</w:t>
            </w:r>
          </w:p>
        </w:tc>
      </w:tr>
      <w:tr w:rsidR="006D6E5F" w:rsidTr="0063328B">
        <w:trPr>
          <w:cantSplit/>
          <w:trHeight w:val="284"/>
        </w:trPr>
        <w:tc>
          <w:tcPr>
            <w:tcW w:w="418"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27</w:t>
            </w:r>
          </w:p>
        </w:tc>
        <w:tc>
          <w:tcPr>
            <w:tcW w:w="1822" w:type="dxa"/>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6D6E5F" w:rsidRDefault="006D6E5F" w:rsidP="0063328B">
            <w:pPr>
              <w:autoSpaceDE w:val="0"/>
              <w:autoSpaceDN w:val="0"/>
              <w:adjustRightInd w:val="0"/>
              <w:snapToGrid w:val="0"/>
              <w:jc w:val="center"/>
              <w:rPr>
                <w:rFonts w:ascii="宋体" w:hAnsi="宋体" w:cs="宋体"/>
                <w:color w:val="000000"/>
                <w:kern w:val="0"/>
                <w:szCs w:val="21"/>
              </w:rPr>
            </w:pPr>
            <w:r>
              <w:rPr>
                <w:rFonts w:ascii="宋体" w:hAnsi="宋体" w:cs="宋体" w:hint="eastAsia"/>
                <w:color w:val="000000"/>
                <w:kern w:val="0"/>
                <w:szCs w:val="21"/>
              </w:rPr>
              <w:t>实验项目卡审核人</w:t>
            </w:r>
          </w:p>
        </w:tc>
        <w:tc>
          <w:tcPr>
            <w:tcW w:w="6266" w:type="dxa"/>
            <w:tcBorders>
              <w:top w:val="single" w:sz="4" w:space="0" w:color="auto"/>
              <w:left w:val="single" w:sz="4" w:space="0" w:color="auto"/>
              <w:bottom w:val="single" w:sz="4" w:space="0" w:color="auto"/>
              <w:right w:val="single" w:sz="4" w:space="0" w:color="auto"/>
            </w:tcBorders>
            <w:vAlign w:val="center"/>
          </w:tcPr>
          <w:p w:rsidR="006D6E5F" w:rsidRDefault="006D6E5F" w:rsidP="0063328B">
            <w:pPr>
              <w:adjustRightInd w:val="0"/>
              <w:snapToGrid w:val="0"/>
              <w:spacing w:line="320" w:lineRule="exact"/>
              <w:rPr>
                <w:rFonts w:ascii="楷体" w:eastAsia="楷体" w:hAnsi="楷体"/>
                <w:bCs/>
                <w:color w:val="000000"/>
                <w:kern w:val="44"/>
                <w:sz w:val="24"/>
              </w:rPr>
            </w:pPr>
            <w:r>
              <w:rPr>
                <w:rFonts w:ascii="楷体" w:eastAsia="楷体" w:hAnsi="楷体" w:hint="eastAsia"/>
                <w:bCs/>
                <w:color w:val="000000"/>
                <w:kern w:val="44"/>
                <w:sz w:val="24"/>
              </w:rPr>
              <w:t>刘忠英教授</w:t>
            </w:r>
          </w:p>
        </w:tc>
      </w:tr>
    </w:tbl>
    <w:p w:rsidR="00F9465A" w:rsidRDefault="00F9465A"/>
    <w:sectPr w:rsidR="00F9465A" w:rsidSect="00F94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瀹嬩綋">
    <w:altName w:val="宋体"/>
    <w:charset w:val="86"/>
    <w:family w:val="roma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1B64"/>
    <w:multiLevelType w:val="multilevel"/>
    <w:tmpl w:val="0DF81B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FAF0D1E"/>
    <w:multiLevelType w:val="multilevel"/>
    <w:tmpl w:val="2FAF0D1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63C5FF1"/>
    <w:multiLevelType w:val="multilevel"/>
    <w:tmpl w:val="363C5FF1"/>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nsid w:val="39B45DF2"/>
    <w:multiLevelType w:val="multilevel"/>
    <w:tmpl w:val="39B45DF2"/>
    <w:lvl w:ilvl="0">
      <w:start w:val="12"/>
      <w:numFmt w:val="decimal"/>
      <w:lvlText w:val="%1．"/>
      <w:lvlJc w:val="left"/>
      <w:pPr>
        <w:ind w:left="1190" w:hanging="63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3EC25784"/>
    <w:multiLevelType w:val="multilevel"/>
    <w:tmpl w:val="3EC25784"/>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1F22C79"/>
    <w:multiLevelType w:val="multilevel"/>
    <w:tmpl w:val="41F22C79"/>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5EB698E"/>
    <w:multiLevelType w:val="multilevel"/>
    <w:tmpl w:val="55EB698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67AF7C9D"/>
    <w:multiLevelType w:val="multilevel"/>
    <w:tmpl w:val="67AF7C9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9D15499"/>
    <w:multiLevelType w:val="multilevel"/>
    <w:tmpl w:val="69D15499"/>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nsid w:val="6A8F4711"/>
    <w:multiLevelType w:val="multilevel"/>
    <w:tmpl w:val="6A8F47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7"/>
  </w:num>
  <w:num w:numId="4">
    <w:abstractNumId w:val="6"/>
  </w:num>
  <w:num w:numId="5">
    <w:abstractNumId w:val="9"/>
  </w:num>
  <w:num w:numId="6">
    <w:abstractNumId w:val="5"/>
  </w:num>
  <w:num w:numId="7">
    <w:abstractNumId w:val="1"/>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6E5F"/>
    <w:rsid w:val="006D6E5F"/>
    <w:rsid w:val="00F94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Colorful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E5F"/>
    <w:pPr>
      <w:widowControl w:val="0"/>
      <w:jc w:val="both"/>
    </w:pPr>
    <w:rPr>
      <w:rFonts w:ascii="Times New Roman" w:eastAsia="宋体" w:hAnsi="Times New Roman" w:cs="Times New Roman"/>
      <w:szCs w:val="24"/>
    </w:rPr>
  </w:style>
  <w:style w:type="paragraph" w:styleId="1">
    <w:name w:val="heading 1"/>
    <w:basedOn w:val="a"/>
    <w:next w:val="a"/>
    <w:link w:val="1Char"/>
    <w:qFormat/>
    <w:rsid w:val="006D6E5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D6E5F"/>
    <w:rPr>
      <w:rFonts w:ascii="Times New Roman" w:eastAsia="宋体" w:hAnsi="Times New Roman" w:cs="Times New Roman"/>
      <w:b/>
      <w:bCs/>
      <w:kern w:val="44"/>
      <w:sz w:val="44"/>
      <w:szCs w:val="44"/>
    </w:rPr>
  </w:style>
  <w:style w:type="character" w:customStyle="1" w:styleId="bookattfontblack1">
    <w:name w:val="bookattfontblack1"/>
    <w:basedOn w:val="a0"/>
    <w:rsid w:val="006D6E5F"/>
    <w:rPr>
      <w:rFonts w:ascii="瀹嬩綋" w:eastAsia="瀹嬩綋" w:hint="eastAsia"/>
      <w:color w:val="000000"/>
      <w:sz w:val="18"/>
      <w:szCs w:val="18"/>
    </w:rPr>
  </w:style>
  <w:style w:type="character" w:styleId="a3">
    <w:name w:val="annotation reference"/>
    <w:basedOn w:val="a0"/>
    <w:uiPriority w:val="99"/>
    <w:unhideWhenUsed/>
    <w:rsid w:val="006D6E5F"/>
    <w:rPr>
      <w:sz w:val="21"/>
      <w:szCs w:val="21"/>
    </w:rPr>
  </w:style>
  <w:style w:type="character" w:customStyle="1" w:styleId="Char">
    <w:name w:val="批注主题 Char"/>
    <w:basedOn w:val="Char0"/>
    <w:link w:val="a4"/>
    <w:uiPriority w:val="99"/>
    <w:rsid w:val="006D6E5F"/>
    <w:rPr>
      <w:b/>
      <w:bCs/>
    </w:rPr>
  </w:style>
  <w:style w:type="character" w:customStyle="1" w:styleId="Char1">
    <w:name w:val="页脚 Char"/>
    <w:basedOn w:val="a0"/>
    <w:link w:val="a5"/>
    <w:uiPriority w:val="99"/>
    <w:rsid w:val="006D6E5F"/>
    <w:rPr>
      <w:sz w:val="18"/>
      <w:szCs w:val="18"/>
    </w:rPr>
  </w:style>
  <w:style w:type="character" w:customStyle="1" w:styleId="Char0">
    <w:name w:val="批注文字 Char"/>
    <w:basedOn w:val="a0"/>
    <w:link w:val="a6"/>
    <w:uiPriority w:val="99"/>
    <w:rsid w:val="006D6E5F"/>
    <w:rPr>
      <w:rFonts w:ascii="Calibri" w:hAnsi="Calibri"/>
    </w:rPr>
  </w:style>
  <w:style w:type="character" w:customStyle="1" w:styleId="sy21">
    <w:name w:val="sy21"/>
    <w:basedOn w:val="a0"/>
    <w:rsid w:val="006D6E5F"/>
    <w:rPr>
      <w:sz w:val="21"/>
      <w:szCs w:val="21"/>
    </w:rPr>
  </w:style>
  <w:style w:type="character" w:customStyle="1" w:styleId="Char2">
    <w:name w:val="正文文本缩进 Char"/>
    <w:basedOn w:val="a0"/>
    <w:link w:val="a7"/>
    <w:rsid w:val="006D6E5F"/>
    <w:rPr>
      <w:color w:val="FF0000"/>
      <w:szCs w:val="21"/>
    </w:rPr>
  </w:style>
  <w:style w:type="character" w:customStyle="1" w:styleId="Char3">
    <w:name w:val="批注框文本 Char"/>
    <w:basedOn w:val="a0"/>
    <w:link w:val="a8"/>
    <w:uiPriority w:val="99"/>
    <w:rsid w:val="006D6E5F"/>
    <w:rPr>
      <w:sz w:val="18"/>
      <w:szCs w:val="18"/>
    </w:rPr>
  </w:style>
  <w:style w:type="character" w:customStyle="1" w:styleId="Char4">
    <w:name w:val="页眉 Char"/>
    <w:basedOn w:val="a0"/>
    <w:link w:val="a9"/>
    <w:uiPriority w:val="99"/>
    <w:rsid w:val="006D6E5F"/>
    <w:rPr>
      <w:sz w:val="18"/>
      <w:szCs w:val="18"/>
    </w:rPr>
  </w:style>
  <w:style w:type="character" w:styleId="aa">
    <w:name w:val="Hyperlink"/>
    <w:basedOn w:val="a0"/>
    <w:rsid w:val="006D6E5F"/>
    <w:rPr>
      <w:strike w:val="0"/>
      <w:dstrike w:val="0"/>
      <w:color w:val="000000"/>
      <w:sz w:val="18"/>
      <w:szCs w:val="18"/>
      <w:u w:val="none"/>
    </w:rPr>
  </w:style>
  <w:style w:type="character" w:customStyle="1" w:styleId="2Char">
    <w:name w:val="正文文本缩进 2 Char"/>
    <w:basedOn w:val="a0"/>
    <w:link w:val="2"/>
    <w:uiPriority w:val="99"/>
    <w:rsid w:val="006D6E5F"/>
    <w:rPr>
      <w:szCs w:val="24"/>
    </w:rPr>
  </w:style>
  <w:style w:type="paragraph" w:styleId="a9">
    <w:name w:val="header"/>
    <w:basedOn w:val="a"/>
    <w:link w:val="Char4"/>
    <w:uiPriority w:val="99"/>
    <w:rsid w:val="006D6E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link w:val="a9"/>
    <w:uiPriority w:val="99"/>
    <w:semiHidden/>
    <w:rsid w:val="006D6E5F"/>
    <w:rPr>
      <w:rFonts w:ascii="Times New Roman" w:eastAsia="宋体" w:hAnsi="Times New Roman" w:cs="Times New Roman"/>
      <w:sz w:val="18"/>
      <w:szCs w:val="18"/>
    </w:rPr>
  </w:style>
  <w:style w:type="paragraph" w:styleId="ab">
    <w:name w:val="Normal (Web)"/>
    <w:basedOn w:val="a"/>
    <w:rsid w:val="006D6E5F"/>
    <w:pPr>
      <w:widowControl/>
      <w:spacing w:before="100" w:beforeAutospacing="1" w:after="100" w:afterAutospacing="1"/>
      <w:jc w:val="left"/>
    </w:pPr>
    <w:rPr>
      <w:rFonts w:ascii="宋体" w:hAnsi="宋体"/>
      <w:kern w:val="0"/>
      <w:sz w:val="24"/>
    </w:rPr>
  </w:style>
  <w:style w:type="paragraph" w:styleId="a6">
    <w:name w:val="annotation text"/>
    <w:basedOn w:val="a"/>
    <w:link w:val="Char0"/>
    <w:uiPriority w:val="99"/>
    <w:unhideWhenUsed/>
    <w:rsid w:val="006D6E5F"/>
    <w:pPr>
      <w:jc w:val="left"/>
    </w:pPr>
    <w:rPr>
      <w:rFonts w:ascii="Calibri" w:eastAsiaTheme="minorEastAsia" w:hAnsi="Calibri" w:cstheme="minorBidi"/>
      <w:szCs w:val="22"/>
    </w:rPr>
  </w:style>
  <w:style w:type="character" w:customStyle="1" w:styleId="Char11">
    <w:name w:val="批注文字 Char1"/>
    <w:basedOn w:val="a0"/>
    <w:link w:val="a6"/>
    <w:uiPriority w:val="99"/>
    <w:semiHidden/>
    <w:rsid w:val="006D6E5F"/>
    <w:rPr>
      <w:rFonts w:ascii="Times New Roman" w:eastAsia="宋体" w:hAnsi="Times New Roman" w:cs="Times New Roman"/>
      <w:szCs w:val="24"/>
    </w:rPr>
  </w:style>
  <w:style w:type="paragraph" w:styleId="a7">
    <w:name w:val="Body Text Indent"/>
    <w:basedOn w:val="a"/>
    <w:link w:val="Char2"/>
    <w:rsid w:val="006D6E5F"/>
    <w:pPr>
      <w:ind w:left="420"/>
    </w:pPr>
    <w:rPr>
      <w:rFonts w:asciiTheme="minorHAnsi" w:eastAsiaTheme="minorEastAsia" w:hAnsiTheme="minorHAnsi" w:cstheme="minorBidi"/>
      <w:color w:val="FF0000"/>
      <w:szCs w:val="21"/>
    </w:rPr>
  </w:style>
  <w:style w:type="character" w:customStyle="1" w:styleId="Char12">
    <w:name w:val="正文文本缩进 Char1"/>
    <w:basedOn w:val="a0"/>
    <w:link w:val="a7"/>
    <w:uiPriority w:val="99"/>
    <w:semiHidden/>
    <w:rsid w:val="006D6E5F"/>
    <w:rPr>
      <w:rFonts w:ascii="Times New Roman" w:eastAsia="宋体" w:hAnsi="Times New Roman" w:cs="Times New Roman"/>
      <w:szCs w:val="24"/>
    </w:rPr>
  </w:style>
  <w:style w:type="paragraph" w:styleId="a5">
    <w:name w:val="footer"/>
    <w:basedOn w:val="a"/>
    <w:link w:val="Char1"/>
    <w:uiPriority w:val="99"/>
    <w:rsid w:val="006D6E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0"/>
    <w:link w:val="a5"/>
    <w:uiPriority w:val="99"/>
    <w:semiHidden/>
    <w:rsid w:val="006D6E5F"/>
    <w:rPr>
      <w:rFonts w:ascii="Times New Roman" w:eastAsia="宋体" w:hAnsi="Times New Roman" w:cs="Times New Roman"/>
      <w:sz w:val="18"/>
      <w:szCs w:val="18"/>
    </w:rPr>
  </w:style>
  <w:style w:type="paragraph" w:styleId="a8">
    <w:name w:val="Balloon Text"/>
    <w:basedOn w:val="a"/>
    <w:link w:val="Char3"/>
    <w:uiPriority w:val="99"/>
    <w:rsid w:val="006D6E5F"/>
    <w:rPr>
      <w:rFonts w:asciiTheme="minorHAnsi" w:eastAsiaTheme="minorEastAsia" w:hAnsiTheme="minorHAnsi" w:cstheme="minorBidi"/>
      <w:sz w:val="18"/>
      <w:szCs w:val="18"/>
    </w:rPr>
  </w:style>
  <w:style w:type="character" w:customStyle="1" w:styleId="Char14">
    <w:name w:val="批注框文本 Char1"/>
    <w:basedOn w:val="a0"/>
    <w:link w:val="a8"/>
    <w:uiPriority w:val="99"/>
    <w:semiHidden/>
    <w:rsid w:val="006D6E5F"/>
    <w:rPr>
      <w:rFonts w:ascii="Times New Roman" w:eastAsia="宋体" w:hAnsi="Times New Roman" w:cs="Times New Roman"/>
      <w:sz w:val="18"/>
      <w:szCs w:val="18"/>
    </w:rPr>
  </w:style>
  <w:style w:type="paragraph" w:styleId="2">
    <w:name w:val="Body Text Indent 2"/>
    <w:basedOn w:val="a"/>
    <w:link w:val="2Char"/>
    <w:uiPriority w:val="99"/>
    <w:unhideWhenUsed/>
    <w:rsid w:val="006D6E5F"/>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0"/>
    <w:link w:val="2"/>
    <w:uiPriority w:val="99"/>
    <w:semiHidden/>
    <w:rsid w:val="006D6E5F"/>
    <w:rPr>
      <w:rFonts w:ascii="Times New Roman" w:eastAsia="宋体" w:hAnsi="Times New Roman" w:cs="Times New Roman"/>
      <w:szCs w:val="24"/>
    </w:rPr>
  </w:style>
  <w:style w:type="paragraph" w:styleId="a4">
    <w:name w:val="annotation subject"/>
    <w:basedOn w:val="a6"/>
    <w:next w:val="a6"/>
    <w:link w:val="Char"/>
    <w:uiPriority w:val="99"/>
    <w:unhideWhenUsed/>
    <w:rsid w:val="006D6E5F"/>
    <w:rPr>
      <w:b/>
      <w:bCs/>
    </w:rPr>
  </w:style>
  <w:style w:type="character" w:customStyle="1" w:styleId="Char15">
    <w:name w:val="批注主题 Char1"/>
    <w:basedOn w:val="Char11"/>
    <w:link w:val="a4"/>
    <w:uiPriority w:val="99"/>
    <w:semiHidden/>
    <w:rsid w:val="006D6E5F"/>
    <w:rPr>
      <w:b/>
      <w:bCs/>
    </w:rPr>
  </w:style>
  <w:style w:type="paragraph" w:customStyle="1" w:styleId="Default">
    <w:name w:val="Default"/>
    <w:rsid w:val="006D6E5F"/>
    <w:pPr>
      <w:widowControl w:val="0"/>
      <w:autoSpaceDE w:val="0"/>
      <w:autoSpaceDN w:val="0"/>
      <w:adjustRightInd w:val="0"/>
    </w:pPr>
    <w:rPr>
      <w:rFonts w:ascii="Times New Roman" w:eastAsia="宋体" w:hAnsi="Times New Roman" w:cs="Times New Roman"/>
      <w:color w:val="000000"/>
      <w:kern w:val="0"/>
      <w:sz w:val="24"/>
      <w:szCs w:val="24"/>
    </w:rPr>
  </w:style>
  <w:style w:type="table" w:styleId="ac">
    <w:name w:val="Table Grid"/>
    <w:basedOn w:val="a1"/>
    <w:rsid w:val="006D6E5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Colorful 3"/>
    <w:basedOn w:val="a1"/>
    <w:rsid w:val="006D6E5F"/>
    <w:pPr>
      <w:widowControl w:val="0"/>
      <w:jc w:val="both"/>
    </w:pPr>
    <w:rPr>
      <w:rFonts w:ascii="Times New Roman" w:eastAsia="宋体"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1181</Words>
  <Characters>6734</Characters>
  <Application>Microsoft Office Word</Application>
  <DocSecurity>0</DocSecurity>
  <Lines>56</Lines>
  <Paragraphs>15</Paragraphs>
  <ScaleCrop>false</ScaleCrop>
  <Company/>
  <LinksUpToDate>false</LinksUpToDate>
  <CharactersWithSpaces>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2016-02-01T02:57:00Z</dcterms:created>
  <dcterms:modified xsi:type="dcterms:W3CDTF">2016-02-01T02:57:00Z</dcterms:modified>
</cp:coreProperties>
</file>