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3" w:rsidRDefault="00EE2813" w:rsidP="00EE2813">
      <w:pPr>
        <w:pStyle w:val="1"/>
        <w:spacing w:before="156" w:after="156" w:line="400" w:lineRule="exact"/>
        <w:jc w:val="center"/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生物药物制剂学（732014）实验教学大纲</w:t>
      </w:r>
    </w:p>
    <w:p w:rsidR="00EE2813" w:rsidRDefault="00EE2813" w:rsidP="00EE2813">
      <w:pPr>
        <w:rPr>
          <w:rFonts w:ascii="楷体_GB2312" w:eastAsia="楷体_GB2312" w:hint="eastAsia"/>
        </w:rPr>
      </w:pP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01．教学单位名称：</w:t>
      </w:r>
      <w:r>
        <w:rPr>
          <w:rFonts w:ascii="楷体_GB2312" w:eastAsia="楷体_GB2312" w:hAnsi="华文中宋" w:hint="eastAsia"/>
          <w:sz w:val="24"/>
        </w:rPr>
        <w:t>药学院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02．实验中心名称：</w:t>
      </w:r>
      <w:r>
        <w:rPr>
          <w:rFonts w:ascii="楷体_GB2312" w:eastAsia="楷体_GB2312" w:hAnsi="华文中宋" w:hint="eastAsia"/>
          <w:sz w:val="24"/>
        </w:rPr>
        <w:t>生物工程（医学）实验中心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03．课程名称：</w:t>
      </w:r>
      <w:r>
        <w:rPr>
          <w:rFonts w:ascii="楷体_GB2312" w:eastAsia="楷体_GB2312" w:hAnsi="华文中宋" w:hint="eastAsia"/>
          <w:sz w:val="24"/>
        </w:rPr>
        <w:t>生物药物制剂学A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04．课程代码：</w:t>
      </w:r>
      <w:r>
        <w:rPr>
          <w:rFonts w:ascii="楷体_GB2312" w:eastAsia="楷体_GB2312" w:hAnsi="华文中宋" w:hint="eastAsia"/>
          <w:sz w:val="24"/>
        </w:rPr>
        <w:t>732014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05．课程类别：</w:t>
      </w:r>
      <w:r>
        <w:rPr>
          <w:rFonts w:ascii="楷体_GB2312" w:eastAsia="楷体_GB2312" w:hAnsi="华文中宋" w:hint="eastAsia"/>
          <w:sz w:val="24"/>
        </w:rPr>
        <w:t>专业课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06．课程性质：</w:t>
      </w:r>
      <w:r>
        <w:rPr>
          <w:rFonts w:ascii="楷体_GB2312" w:eastAsia="楷体_GB2312" w:hAnsi="华文中宋" w:hint="eastAsia"/>
          <w:sz w:val="24"/>
        </w:rPr>
        <w:t>必修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07．课程学时：</w:t>
      </w:r>
      <w:r>
        <w:rPr>
          <w:rFonts w:ascii="楷体_GB2312" w:eastAsia="楷体_GB2312" w:hAnsi="华文中宋" w:hint="eastAsia"/>
          <w:sz w:val="24"/>
        </w:rPr>
        <w:t>48学时，其中含实验16学时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08．课程学分：</w:t>
      </w:r>
      <w:r>
        <w:rPr>
          <w:rFonts w:ascii="楷体_GB2312" w:eastAsia="楷体_GB2312" w:hAnsi="华文中宋" w:hint="eastAsia"/>
          <w:sz w:val="24"/>
        </w:rPr>
        <w:t>2.5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09．面向专业：</w:t>
      </w:r>
      <w:r>
        <w:rPr>
          <w:rFonts w:ascii="楷体_GB2312" w:eastAsia="楷体_GB2312" w:hAnsi="华文中宋" w:hint="eastAsia"/>
          <w:sz w:val="24"/>
        </w:rPr>
        <w:t>药学院生物医学工程专业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10．实验课程的教学任务、要求和教学目的</w:t>
      </w:r>
    </w:p>
    <w:p w:rsidR="00EE2813" w:rsidRDefault="00EE2813" w:rsidP="00EE2813">
      <w:pPr>
        <w:spacing w:line="320" w:lineRule="exact"/>
        <w:ind w:firstLineChars="200" w:firstLine="480"/>
        <w:rPr>
          <w:rFonts w:ascii="楷体_GB2312" w:eastAsia="楷体_GB2312" w:hAnsi="Tahoma" w:cs="Tahoma" w:hint="eastAsia"/>
          <w:color w:val="333333"/>
          <w:sz w:val="24"/>
        </w:rPr>
      </w:pPr>
      <w:r>
        <w:rPr>
          <w:rFonts w:ascii="楷体_GB2312" w:eastAsia="楷体_GB2312" w:hint="eastAsia"/>
          <w:sz w:val="24"/>
        </w:rPr>
        <w:t>通过发酵工程实验课程的教学，使学生充分理解生物</w:t>
      </w:r>
      <w:r>
        <w:rPr>
          <w:rFonts w:ascii="楷体_GB2312" w:eastAsia="楷体_GB2312" w:hAnsi="Tahoma" w:cs="Tahoma" w:hint="eastAsia"/>
          <w:color w:val="333333"/>
          <w:sz w:val="24"/>
        </w:rPr>
        <w:t>药物制剂学的基础原理，加深对生物药物递送载及各种给药系统的认识，掌握生物药物剂型和制剂处方设计及制备工艺。</w:t>
      </w:r>
    </w:p>
    <w:p w:rsidR="00EE2813" w:rsidRDefault="00EE2813" w:rsidP="00EE2813">
      <w:pPr>
        <w:spacing w:line="3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教学目的：使学生在掌握有关生物制剂加工的理论以及各种剂型的特点、组成、加工工艺、分析方法的基础上，增强生物药物剂型加工及新制剂开发的实践技能。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宋体" w:hint="eastAsia"/>
          <w:sz w:val="24"/>
        </w:rPr>
        <w:t>要求：熟练地掌握微囊剂、包合剂及脂质体等剂型的配方研制及配制方法，了解这些剂型的加工工艺，熟悉主要质量控制指标及检测方法。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11．学生应掌握的实验技术及实验能力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（1）掌握复凝聚法制备微型胶囊剂的原理及实验技术。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（2）掌握包合物的制备及检测方法。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（3）掌握脂质体的制备技术及检测方法。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12．开设实验项目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（1）微型胶囊的制备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（2）包合物的制备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（3）脂质体的制备</w:t>
      </w:r>
    </w:p>
    <w:p w:rsidR="00EE2813" w:rsidRDefault="00EE2813" w:rsidP="00EE2813">
      <w:pPr>
        <w:adjustRightInd w:val="0"/>
        <w:snapToGrid w:val="0"/>
        <w:spacing w:line="320" w:lineRule="exact"/>
        <w:jc w:val="center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开设实验项目一览表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2340"/>
        <w:gridCol w:w="1080"/>
        <w:gridCol w:w="1080"/>
        <w:gridCol w:w="1080"/>
        <w:gridCol w:w="924"/>
        <w:gridCol w:w="900"/>
      </w:tblGrid>
      <w:tr w:rsidR="00EE2813" w:rsidTr="0063328B">
        <w:trPr>
          <w:trHeight w:val="285"/>
        </w:trPr>
        <w:tc>
          <w:tcPr>
            <w:tcW w:w="1445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实验项目编号</w:t>
            </w:r>
          </w:p>
        </w:tc>
        <w:tc>
          <w:tcPr>
            <w:tcW w:w="234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108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08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实验性质</w:t>
            </w:r>
          </w:p>
        </w:tc>
        <w:tc>
          <w:tcPr>
            <w:tcW w:w="108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实验学时</w:t>
            </w:r>
          </w:p>
        </w:tc>
        <w:tc>
          <w:tcPr>
            <w:tcW w:w="924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每组人数</w:t>
            </w:r>
          </w:p>
        </w:tc>
        <w:tc>
          <w:tcPr>
            <w:tcW w:w="900" w:type="dxa"/>
          </w:tcPr>
          <w:p w:rsidR="00EE2813" w:rsidRDefault="00EE2813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首次开出年月</w:t>
            </w:r>
          </w:p>
        </w:tc>
      </w:tr>
      <w:tr w:rsidR="00EE2813" w:rsidTr="0063328B">
        <w:trPr>
          <w:trHeight w:val="285"/>
        </w:trPr>
        <w:tc>
          <w:tcPr>
            <w:tcW w:w="1445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73201401</w:t>
            </w:r>
          </w:p>
        </w:tc>
        <w:tc>
          <w:tcPr>
            <w:tcW w:w="2340" w:type="dxa"/>
            <w:vAlign w:val="center"/>
          </w:tcPr>
          <w:p w:rsidR="00EE2813" w:rsidRDefault="00EE2813" w:rsidP="0063328B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微型胶囊的制备。</w:t>
            </w:r>
          </w:p>
        </w:tc>
        <w:tc>
          <w:tcPr>
            <w:tcW w:w="1080" w:type="dxa"/>
          </w:tcPr>
          <w:p w:rsidR="00EE2813" w:rsidRDefault="00EE2813" w:rsidP="0063328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</w:tcPr>
          <w:p w:rsidR="00EE2813" w:rsidRDefault="00EE2813" w:rsidP="0063328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24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201610</w:t>
            </w:r>
          </w:p>
        </w:tc>
      </w:tr>
      <w:tr w:rsidR="00EE2813" w:rsidTr="0063328B">
        <w:trPr>
          <w:trHeight w:val="285"/>
        </w:trPr>
        <w:tc>
          <w:tcPr>
            <w:tcW w:w="1445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73201402</w:t>
            </w:r>
          </w:p>
        </w:tc>
        <w:tc>
          <w:tcPr>
            <w:tcW w:w="234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包合物的制备</w:t>
            </w:r>
          </w:p>
        </w:tc>
        <w:tc>
          <w:tcPr>
            <w:tcW w:w="1080" w:type="dxa"/>
          </w:tcPr>
          <w:p w:rsidR="00EE2813" w:rsidRDefault="00EE2813" w:rsidP="0063328B"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</w:tcPr>
          <w:p w:rsidR="00EE2813" w:rsidRDefault="00EE2813" w:rsidP="0063328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24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</w:tcPr>
          <w:p w:rsidR="00EE2813" w:rsidRDefault="00EE2813" w:rsidP="0063328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201610</w:t>
            </w:r>
          </w:p>
        </w:tc>
      </w:tr>
      <w:tr w:rsidR="00EE2813" w:rsidTr="0063328B">
        <w:trPr>
          <w:trHeight w:val="285"/>
        </w:trPr>
        <w:tc>
          <w:tcPr>
            <w:tcW w:w="1445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73201403</w:t>
            </w:r>
          </w:p>
        </w:tc>
        <w:tc>
          <w:tcPr>
            <w:tcW w:w="234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脂质体的制备</w:t>
            </w:r>
          </w:p>
        </w:tc>
        <w:tc>
          <w:tcPr>
            <w:tcW w:w="1080" w:type="dxa"/>
          </w:tcPr>
          <w:p w:rsidR="00EE2813" w:rsidRDefault="00EE2813" w:rsidP="0063328B"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</w:tcPr>
          <w:p w:rsidR="00EE2813" w:rsidRDefault="00EE2813" w:rsidP="0063328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EE2813" w:rsidRDefault="00EE2813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</w:tcPr>
          <w:p w:rsidR="00EE2813" w:rsidRDefault="00EE2813" w:rsidP="0063328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201610</w:t>
            </w:r>
          </w:p>
        </w:tc>
      </w:tr>
    </w:tbl>
    <w:p w:rsidR="00EE2813" w:rsidRDefault="00EE2813" w:rsidP="00EE2813">
      <w:pPr>
        <w:adjustRightInd w:val="0"/>
        <w:snapToGrid w:val="0"/>
        <w:rPr>
          <w:rFonts w:ascii="楷体_GB2312" w:eastAsia="楷体_GB2312" w:hAnsi="华文中宋" w:hint="eastAsia"/>
          <w:sz w:val="24"/>
        </w:rPr>
      </w:pP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13．实验教材或指导书或主要参考资料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（1）赵应征，生物药物制剂学，浙江大学出版社，2011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14．考核要求、考核方式及成绩评定标准</w:t>
      </w:r>
    </w:p>
    <w:p w:rsidR="00EE2813" w:rsidRDefault="00EE2813" w:rsidP="00EE2813">
      <w:pPr>
        <w:spacing w:line="3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考核方式：实验报告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宋体" w:hint="eastAsia"/>
          <w:sz w:val="24"/>
        </w:rPr>
        <w:t>成绩评定：实验课成绩占课程总成绩的20％，其中实验操作占10%，实验报告占10%。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15．执笔人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lastRenderedPageBreak/>
        <w:t>韩冰 讲师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16．制定日期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20131024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17．审核人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高诗珠 副教授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18．审核日期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20131030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19．学院审定程序说明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大纲制定完毕后首先由学院教学指导委员对实验内容进行审定，然后由负责该实验的实验中心对耗材及价格进行审定。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20．学院审定日期</w:t>
      </w:r>
    </w:p>
    <w:p w:rsidR="00EE2813" w:rsidRDefault="00EE2813" w:rsidP="00EE2813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EE2813" w:rsidRDefault="00EE2813" w:rsidP="00EE2813">
      <w:pPr>
        <w:adjustRightInd w:val="0"/>
        <w:snapToGrid w:val="0"/>
        <w:rPr>
          <w:rFonts w:ascii="楷体_GB2312" w:eastAsia="楷体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生物药物制剂学(732014)实验项目卡1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EE2813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生物药物制剂学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732014</w:t>
            </w:r>
          </w:p>
        </w:tc>
      </w:tr>
      <w:tr w:rsidR="00EE2813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微型胶囊的制备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73201401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掌握微型胶囊的制备原理及工艺。了解微囊形成的影响因素。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以明胶、阿拉伯胶、液体石蜡为原料，通过复凝聚法制备微</w:t>
            </w:r>
            <w:r>
              <w:rPr>
                <w:rFonts w:ascii="宋体" w:hAnsi="宋体" w:cs="宋体" w:hint="eastAsia"/>
                <w:kern w:val="0"/>
                <w:sz w:val="24"/>
              </w:rPr>
              <w:t>型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胶囊，并在显微镜下观察微囊的形态和大小。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微型胶囊是利用天然、半合成高分子材料将固体或液体药物包裹成直径1-5000um的封闭微小胶囊。实验室制备微囊常使用物理化学法中的凝聚法。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1.演示性□；2.验证性□√；3.综合性□；4.设计性□；5.研究性□。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乳钵，烧杯，水浴锅，抽滤装置，显微镜，组织捣碎机，电动搅拌器，PH计，烘箱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201610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生物工程实验中心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生物工程实验中心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原料药1g，明胶300g，阿拉伯胶300g，液状石蜡500ml，甲醛溶液500ml，醋酸500ml，氢氧化钠100g，精密PH试纸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hAnsi="楷体" w:cs="宋体" w:hint="eastAsia"/>
                <w:sz w:val="24"/>
              </w:rPr>
              <w:t>30</w:t>
            </w:r>
            <w:r>
              <w:rPr>
                <w:rFonts w:ascii="楷体" w:eastAsia="楷体" w:hAnsi="楷体" w:cs="宋体" w:hint="eastAsia"/>
                <w:sz w:val="24"/>
              </w:rPr>
              <w:t>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韩冰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高诗珠</w:t>
            </w:r>
          </w:p>
        </w:tc>
      </w:tr>
    </w:tbl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eastAsia="黑体" w:hAnsi="Arial" w:hint="eastAsia"/>
          <w:b/>
          <w:sz w:val="36"/>
          <w:szCs w:val="36"/>
        </w:rPr>
      </w:pPr>
    </w:p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eastAsia="黑体" w:hAnsi="Arial" w:hint="eastAsia"/>
          <w:b/>
          <w:sz w:val="36"/>
          <w:szCs w:val="36"/>
        </w:rPr>
      </w:pPr>
    </w:p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eastAsia="黑体" w:hAnsi="Arial" w:hint="eastAsia"/>
          <w:b/>
          <w:sz w:val="36"/>
          <w:szCs w:val="36"/>
        </w:rPr>
      </w:pPr>
    </w:p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eastAsia="黑体" w:hAnsi="Arial" w:hint="eastAsia"/>
          <w:b/>
          <w:sz w:val="36"/>
          <w:szCs w:val="36"/>
        </w:rPr>
      </w:pPr>
    </w:p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eastAsia="黑体" w:hAnsi="Arial" w:hint="eastAsia"/>
          <w:b/>
          <w:sz w:val="36"/>
          <w:szCs w:val="36"/>
        </w:rPr>
      </w:pPr>
    </w:p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生物药物制剂学(732014)实验项目卡2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EE2813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生物药物制剂学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732014</w:t>
            </w:r>
          </w:p>
        </w:tc>
      </w:tr>
      <w:tr w:rsidR="00EE2813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包合物的制备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73201402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掌握</w:t>
            </w:r>
            <w:r>
              <w:rPr>
                <w:rFonts w:ascii="楷体" w:eastAsia="楷体" w:hAnsi="楷体" w:hint="eastAsia"/>
                <w:sz w:val="24"/>
              </w:rPr>
              <w:t>包合物的制备及检测方法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。了解环糊精的性质及应用。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制备原料药的包合物并用薄层层析法对包合率进行检测。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环糊精是一种新型的水溶性包合材料，具有筒状结构，可将一些体积和形状合适的药物分子包合在疏水区内形成包合物，对药物起到稳定和提高溶解度的作用。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1.演示性□；2.验证性□√；3.综合性□；4.设计性□；5.研究性□。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显微镜，恒温水浴，超声仪，滤器，干燥器，层析槽，荧光灯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201610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生物工程实验中心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生物工程实验中心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原料药1g，环糊精200g，无水乙醇500ml，乙醚200ml，硅胶G200g，羧甲基纤维素钠200ml，乙酸乙酯100ml，香夹兰醛硫酸液500ml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hAnsi="楷体" w:cs="宋体" w:hint="eastAsia"/>
                <w:sz w:val="24"/>
              </w:rPr>
              <w:t>35</w:t>
            </w:r>
            <w:r>
              <w:rPr>
                <w:rFonts w:ascii="楷体" w:eastAsia="楷体" w:hAnsi="楷体" w:cs="宋体" w:hint="eastAsia"/>
                <w:sz w:val="24"/>
              </w:rPr>
              <w:t>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韩冰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高诗珠</w:t>
            </w:r>
          </w:p>
        </w:tc>
      </w:tr>
    </w:tbl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eastAsia="黑体" w:hAnsi="Arial" w:hint="eastAsia"/>
          <w:b/>
          <w:sz w:val="36"/>
          <w:szCs w:val="36"/>
        </w:rPr>
      </w:pPr>
      <w:r>
        <w:rPr>
          <w:rFonts w:eastAsia="黑体" w:hAnsi="Arial"/>
          <w:b/>
          <w:sz w:val="36"/>
          <w:szCs w:val="36"/>
        </w:rPr>
        <w:br w:type="page"/>
      </w:r>
    </w:p>
    <w:p w:rsidR="00EE2813" w:rsidRDefault="00EE2813" w:rsidP="00EE2813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生物药物制剂学(732014)实验项目卡3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EE2813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生物药物制剂学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732014</w:t>
            </w:r>
          </w:p>
        </w:tc>
      </w:tr>
      <w:tr w:rsidR="00EE2813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脂质体的制备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73201403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掌握脂质体的制备原理及工艺。了解脂质体形成的影响因素。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以卵磷脂、胆固醇等为原料，</w:t>
            </w:r>
            <w:r>
              <w:rPr>
                <w:rFonts w:ascii="楷体" w:eastAsia="楷体" w:hAnsi="楷体" w:hint="eastAsia"/>
                <w:sz w:val="24"/>
              </w:rPr>
              <w:t>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过薄膜分散法制备脂质体，并在显微镜下观察脂质体的形态和大小，测定脂质体包封率。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用氯仿-甲醇溶液溶解磷脂及胆固醇，通过旋转蒸发可以形成脂膜。用这种脂膜包裹药物可以达到使药物缓慢释放、控制药物释放的效果。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1.演示性□；2.验证性□√；3.综合性□；4.设计性□；5.研究性□。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旋转蒸发仪、旋转蒸发瓶、涡旋振荡器、真空泵、天平、超声清洗仪、显微镜、离心机、烧杯、量筒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201610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生物工程实验中心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生物工程实验中心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原料药1g，大豆卵磷脂500mg，胆固醇300mg，甲醇500ml，，无水乙醇，氯仿500ml、生理盐水50ml，一次性注射器20个、0.45μm微孔滤膜20个、1.5mlEP管100个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hAnsi="楷体" w:cs="宋体" w:hint="eastAsia"/>
                <w:sz w:val="24"/>
              </w:rPr>
              <w:t>40</w:t>
            </w:r>
            <w:r>
              <w:rPr>
                <w:rFonts w:ascii="楷体" w:eastAsia="楷体" w:hAnsi="楷体" w:cs="宋体" w:hint="eastAsia"/>
                <w:sz w:val="24"/>
              </w:rPr>
              <w:t>元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韩冰</w:t>
            </w:r>
          </w:p>
        </w:tc>
      </w:tr>
      <w:tr w:rsidR="00EE2813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813" w:rsidRDefault="00EE2813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高诗珠</w:t>
            </w:r>
          </w:p>
        </w:tc>
      </w:tr>
    </w:tbl>
    <w:p w:rsidR="00EE2813" w:rsidRDefault="00EE2813" w:rsidP="00EE2813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F9465A" w:rsidRDefault="00F9465A"/>
    <w:sectPr w:rsidR="00F9465A" w:rsidSect="00F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813"/>
    <w:rsid w:val="00EE2813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E28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281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2016-02-01T03:08:00Z</dcterms:created>
  <dcterms:modified xsi:type="dcterms:W3CDTF">2016-02-01T03:09:00Z</dcterms:modified>
</cp:coreProperties>
</file>