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5A" w:rsidRDefault="0020555A" w:rsidP="0020555A">
      <w:pPr>
        <w:spacing w:line="300" w:lineRule="auto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天然药物化学（</w:t>
      </w:r>
      <w:r>
        <w:rPr>
          <w:rFonts w:ascii="楷体_GB2312" w:eastAsia="楷体_GB2312" w:hAnsi="宋体"/>
          <w:b/>
          <w:sz w:val="32"/>
          <w:szCs w:val="32"/>
        </w:rPr>
        <w:t>732003</w:t>
      </w:r>
      <w:r>
        <w:rPr>
          <w:rFonts w:ascii="楷体_GB2312" w:eastAsia="楷体_GB2312" w:hAnsi="宋体" w:hint="eastAsia"/>
          <w:b/>
          <w:sz w:val="32"/>
          <w:szCs w:val="32"/>
        </w:rPr>
        <w:t>）实验教学大纲</w:t>
      </w:r>
    </w:p>
    <w:p w:rsidR="0020555A" w:rsidRDefault="0020555A" w:rsidP="0020555A">
      <w:pPr>
        <w:spacing w:line="300" w:lineRule="auto"/>
        <w:jc w:val="center"/>
        <w:rPr>
          <w:rFonts w:ascii="楷体_GB2312" w:eastAsia="楷体_GB2312" w:hAnsi="宋体" w:hint="eastAsia"/>
          <w:b/>
          <w:sz w:val="32"/>
          <w:szCs w:val="32"/>
        </w:rPr>
      </w:pP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01. 教学单位名称：</w:t>
      </w:r>
      <w:r>
        <w:rPr>
          <w:rFonts w:ascii="楷体_GB2312" w:eastAsia="楷体_GB2312" w:hAnsi="宋体" w:hint="eastAsia"/>
          <w:sz w:val="24"/>
        </w:rPr>
        <w:t>药学院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02. 实验中心名称：</w:t>
      </w:r>
      <w:r>
        <w:rPr>
          <w:rFonts w:ascii="楷体_GB2312" w:eastAsia="楷体_GB2312" w:hAnsi="宋体" w:hint="eastAsia"/>
          <w:sz w:val="24"/>
        </w:rPr>
        <w:t>药学实验中心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03. 课程名称：</w:t>
      </w:r>
      <w:r>
        <w:rPr>
          <w:rFonts w:ascii="楷体_GB2312" w:eastAsia="楷体_GB2312" w:hAnsi="宋体" w:hint="eastAsia"/>
          <w:sz w:val="24"/>
        </w:rPr>
        <w:t>天然药物化学实验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bCs/>
          <w:sz w:val="24"/>
        </w:rPr>
      </w:pPr>
      <w:r>
        <w:rPr>
          <w:rFonts w:ascii="楷体_GB2312" w:eastAsia="楷体_GB2312" w:hAnsi="宋体" w:hint="eastAsia"/>
          <w:b/>
          <w:sz w:val="24"/>
        </w:rPr>
        <w:t>04. 课程代码：</w:t>
      </w:r>
      <w:r>
        <w:rPr>
          <w:rFonts w:ascii="楷体_GB2312" w:eastAsia="楷体_GB2312" w:hAnsi="宋体"/>
          <w:bCs/>
          <w:sz w:val="24"/>
        </w:rPr>
        <w:t>732003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05. 课程类别：</w:t>
      </w:r>
      <w:r>
        <w:rPr>
          <w:rFonts w:ascii="楷体_GB2312" w:eastAsia="楷体_GB2312" w:hAnsi="宋体" w:hint="eastAsia"/>
          <w:sz w:val="24"/>
        </w:rPr>
        <w:t>专业课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06. 课程性质：</w:t>
      </w:r>
      <w:r>
        <w:rPr>
          <w:rFonts w:ascii="楷体_GB2312" w:eastAsia="楷体_GB2312" w:hAnsi="宋体" w:hint="eastAsia"/>
          <w:sz w:val="24"/>
        </w:rPr>
        <w:t>必修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07. 课程学时：</w:t>
      </w:r>
      <w:r>
        <w:rPr>
          <w:rFonts w:ascii="楷体_GB2312" w:eastAsia="楷体_GB2312" w:hAnsi="宋体" w:hint="eastAsia"/>
          <w:sz w:val="24"/>
        </w:rPr>
        <w:t>80学时，其中含实验40学时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08. 课程学分：</w:t>
      </w:r>
      <w:r>
        <w:rPr>
          <w:rFonts w:ascii="楷体_GB2312" w:eastAsia="楷体_GB2312" w:hAnsi="宋体" w:hint="eastAsia"/>
          <w:sz w:val="24"/>
        </w:rPr>
        <w:t>4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b/>
          <w:sz w:val="24"/>
        </w:rPr>
        <w:t>09. 面向专业：</w:t>
      </w:r>
      <w:r>
        <w:rPr>
          <w:rFonts w:ascii="楷体_GB2312" w:eastAsia="楷体_GB2312" w:hAnsi="宋体" w:hint="eastAsia"/>
          <w:sz w:val="24"/>
        </w:rPr>
        <w:t>药学专业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10. 实验课程的教学任务、要求和教学目的</w:t>
      </w:r>
    </w:p>
    <w:p w:rsidR="0020555A" w:rsidRDefault="0020555A" w:rsidP="0020555A">
      <w:pPr>
        <w:pStyle w:val="Default"/>
        <w:snapToGrid w:val="0"/>
        <w:spacing w:line="320" w:lineRule="exact"/>
        <w:ind w:firstLineChars="216" w:firstLine="518"/>
        <w:jc w:val="both"/>
        <w:rPr>
          <w:rFonts w:ascii="楷体_GB2312" w:eastAsia="楷体_GB2312" w:hAnsi="楷体" w:hint="eastAsia"/>
          <w:bCs/>
          <w:kern w:val="44"/>
        </w:rPr>
      </w:pPr>
      <w:r>
        <w:rPr>
          <w:rFonts w:ascii="楷体_GB2312" w:eastAsia="楷体_GB2312" w:hAnsi="楷体" w:hint="eastAsia"/>
          <w:bCs/>
          <w:kern w:val="44"/>
        </w:rPr>
        <w:t>通过天然药物化学实验课教学，旨在培养学生树立天然药物化学研究的概念，熟练天然药物提取、分离和鉴别的实验技能，获得从事天然药物化学研究工作的基本能力，理论联系实际的学风和严谨的科学态度。并通过基本操作训练，获得较强的从天然药物中提取分离活性成分的能力，正确掌握常见天然活性成分的提取分离技术；掌握天然药物的鉴别方法、操作要领和实验报告的书写；掌握天然药物化学研究中所用</w:t>
      </w:r>
      <w:r>
        <w:rPr>
          <w:rFonts w:ascii="楷体_GB2312" w:eastAsia="楷体_GB2312" w:hAnsi="宋体" w:cs="宋体" w:hint="eastAsia"/>
        </w:rPr>
        <w:t>仪器设备的使用方法、操作规程和注意事项</w:t>
      </w:r>
      <w:r>
        <w:rPr>
          <w:rFonts w:ascii="楷体_GB2312" w:eastAsia="楷体_GB2312" w:hAnsi="楷体" w:hint="eastAsia"/>
          <w:bCs/>
          <w:kern w:val="44"/>
        </w:rPr>
        <w:t>。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11. 学生应掌握的实验技术和实验能力</w:t>
      </w:r>
    </w:p>
    <w:p w:rsidR="0020555A" w:rsidRDefault="0020555A" w:rsidP="0020555A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通过本课程的学习，使学生达到下列要求：</w:t>
      </w:r>
    </w:p>
    <w:p w:rsidR="0020555A" w:rsidRDefault="0020555A" w:rsidP="0020555A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（1）掌握天然有效成分的提取技能，包括煎煮法从槐米中提取芦丁，回流提取法提取蒽醌类、香豆素类成分等。</w:t>
      </w:r>
    </w:p>
    <w:p w:rsidR="0020555A" w:rsidRDefault="0020555A" w:rsidP="0020555A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（2）掌握天然有效成分的分离方法，包括大孔吸附树脂法、硅胶柱层析法、</w:t>
      </w:r>
      <w:proofErr w:type="gramStart"/>
      <w:r>
        <w:rPr>
          <w:rFonts w:ascii="楷体_GB2312" w:eastAsia="楷体_GB2312" w:hint="eastAsia"/>
          <w:color w:val="000000"/>
          <w:sz w:val="24"/>
        </w:rPr>
        <w:t>碱提酸</w:t>
      </w:r>
      <w:proofErr w:type="gramEnd"/>
      <w:r>
        <w:rPr>
          <w:rFonts w:ascii="楷体_GB2312" w:eastAsia="楷体_GB2312" w:hint="eastAsia"/>
          <w:color w:val="000000"/>
          <w:sz w:val="24"/>
        </w:rPr>
        <w:t>沉法，PH梯度萃取法等。</w:t>
      </w:r>
    </w:p>
    <w:p w:rsidR="0020555A" w:rsidRDefault="0020555A" w:rsidP="0020555A">
      <w:pPr>
        <w:spacing w:line="320" w:lineRule="exact"/>
        <w:ind w:firstLineChars="200" w:firstLine="48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（3）掌握天然有效成分结构鉴定的基本方法，包括显色反应、薄层鉴别法，以及紫外和核磁共振的方法。</w:t>
      </w:r>
    </w:p>
    <w:p w:rsidR="0020555A" w:rsidRDefault="0020555A" w:rsidP="0020555A">
      <w:pPr>
        <w:spacing w:line="320" w:lineRule="exact"/>
        <w:ind w:firstLineChars="200" w:firstLine="482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12. 开设实验项目</w:t>
      </w:r>
    </w:p>
    <w:p w:rsidR="0020555A" w:rsidRDefault="0020555A" w:rsidP="0020555A">
      <w:pPr>
        <w:adjustRightInd w:val="0"/>
        <w:snapToGrid w:val="0"/>
        <w:spacing w:line="320" w:lineRule="exact"/>
        <w:jc w:val="center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开设实验项目一览表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5"/>
        <w:gridCol w:w="2340"/>
        <w:gridCol w:w="900"/>
        <w:gridCol w:w="1080"/>
        <w:gridCol w:w="1080"/>
        <w:gridCol w:w="924"/>
        <w:gridCol w:w="900"/>
      </w:tblGrid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实验项目编号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实验项目名称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实验学时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每组人数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首次开出年月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tabs>
                <w:tab w:val="left" w:pos="2118"/>
              </w:tabs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秦皮中七叶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苷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、七叶内酯的提取、分离与鉴定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大黄中蒽醌类成分的提取、分离和鉴别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芦丁的提取与鉴定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人参皂苷Re的提取分离与鉴定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16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虎杖中游离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Cs w:val="21"/>
              </w:rPr>
              <w:t>蒽醌的提取、分离与鉴定选做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选做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挥发油的提取与鉴定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设计性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选做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2340" w:type="dxa"/>
          </w:tcPr>
          <w:p w:rsidR="0020555A" w:rsidRDefault="0020555A" w:rsidP="0063328B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苦参中氧化苦参碱和苦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参碱的提取、分离及鉴定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验证性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选做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199904</w:t>
            </w:r>
          </w:p>
        </w:tc>
      </w:tr>
      <w:tr w:rsidR="0020555A" w:rsidTr="0063328B">
        <w:trPr>
          <w:trHeight w:val="285"/>
        </w:trPr>
        <w:tc>
          <w:tcPr>
            <w:tcW w:w="1625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7320030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234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天然药化研究现代仪器的操作演示</w:t>
            </w:r>
          </w:p>
        </w:tc>
        <w:tc>
          <w:tcPr>
            <w:tcW w:w="90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演示性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选做</w:t>
            </w:r>
          </w:p>
        </w:tc>
        <w:tc>
          <w:tcPr>
            <w:tcW w:w="1080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10</w:t>
            </w:r>
          </w:p>
        </w:tc>
        <w:tc>
          <w:tcPr>
            <w:tcW w:w="900" w:type="dxa"/>
          </w:tcPr>
          <w:p w:rsidR="0020555A" w:rsidRDefault="0020555A" w:rsidP="006332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201404</w:t>
            </w:r>
          </w:p>
        </w:tc>
      </w:tr>
    </w:tbl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13．实验教材或指导书或主要参考资料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实验教材：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（1）王永生主编. 天然药物化学实验指导. 自编教材. 2008，第一版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华文中宋" w:hint="eastAsia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主要参考资料：</w:t>
      </w:r>
    </w:p>
    <w:p w:rsidR="0020555A" w:rsidRDefault="0020555A" w:rsidP="0020555A">
      <w:pPr>
        <w:spacing w:line="320" w:lineRule="exact"/>
        <w:ind w:rightChars="-226" w:right="-475"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（1） 阚毓铭等，中药化学实验操作技术，北京，中国医药科技出版社，1988：145</w:t>
      </w:r>
    </w:p>
    <w:p w:rsidR="0020555A" w:rsidRDefault="0020555A" w:rsidP="0020555A">
      <w:pPr>
        <w:spacing w:line="320" w:lineRule="exact"/>
        <w:ind w:rightChars="-226" w:right="-475"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（2） 康廷国，中成药薄层色谱鉴别，北京，人民卫生出版社，1995：29</w:t>
      </w:r>
    </w:p>
    <w:p w:rsidR="0020555A" w:rsidRDefault="0020555A" w:rsidP="0020555A">
      <w:pPr>
        <w:spacing w:line="320" w:lineRule="exact"/>
        <w:ind w:rightChars="-226" w:right="-475"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（3） 孙文基等，天然药物成份提取分离与制备，中国医药科技出版社，1994：159</w:t>
      </w:r>
    </w:p>
    <w:p w:rsidR="0020555A" w:rsidRDefault="0020555A" w:rsidP="0020555A">
      <w:pPr>
        <w:spacing w:line="320" w:lineRule="exact"/>
        <w:ind w:rightChars="-226" w:right="-475"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（4） 陈友梅，中药化学，山东科学技术出版社，1988：371</w:t>
      </w:r>
    </w:p>
    <w:p w:rsidR="0020555A" w:rsidRDefault="0020555A" w:rsidP="0020555A">
      <w:pPr>
        <w:spacing w:line="320" w:lineRule="exact"/>
        <w:ind w:rightChars="-226" w:right="-475" w:firstLineChars="200" w:firstLine="482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>14．考核要求、考核方式及成绩评定标准</w:t>
      </w:r>
    </w:p>
    <w:p w:rsidR="0020555A" w:rsidRDefault="0020555A" w:rsidP="0020555A">
      <w:pPr>
        <w:pStyle w:val="Default"/>
        <w:snapToGrid w:val="0"/>
        <w:spacing w:line="320" w:lineRule="exact"/>
        <w:ind w:firstLineChars="216" w:firstLine="518"/>
        <w:jc w:val="both"/>
        <w:rPr>
          <w:rFonts w:ascii="楷体_GB2312" w:eastAsia="楷体_GB2312" w:hAnsi="楷体" w:hint="eastAsia"/>
          <w:bCs/>
          <w:kern w:val="44"/>
        </w:rPr>
      </w:pPr>
      <w:r>
        <w:rPr>
          <w:rFonts w:ascii="楷体_GB2312" w:eastAsia="楷体_GB2312" w:hAnsi="楷体" w:hint="eastAsia"/>
          <w:bCs/>
          <w:kern w:val="44"/>
        </w:rPr>
        <w:t>学生的出勤率、实验操作、实验结果和实验报告四项为实验成绩评分的考核标准，考核成绩占《天然药物化学》总成绩的</w:t>
      </w:r>
      <w:r>
        <w:rPr>
          <w:rFonts w:ascii="楷体_GB2312" w:eastAsia="楷体_GB2312" w:hAnsi="楷体"/>
          <w:bCs/>
          <w:kern w:val="44"/>
        </w:rPr>
        <w:t>30</w:t>
      </w:r>
      <w:r>
        <w:rPr>
          <w:rFonts w:ascii="楷体_GB2312" w:eastAsia="楷体_GB2312" w:hAnsi="楷体" w:hint="eastAsia"/>
          <w:bCs/>
          <w:kern w:val="44"/>
        </w:rPr>
        <w:t>％。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15．执笔人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刘继华副教授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16．制定日期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17．审核人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王永生教授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18．审核日期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19．学院审定程序说明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大纲制定完毕后首先由学院教学指导委员对实验内容进行审定，然后由负责该实验的实验中心对耗材及价格进行审定。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Ansi="宋体" w:hint="eastAsia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20．学院审定日期</w:t>
      </w:r>
    </w:p>
    <w:p w:rsidR="0020555A" w:rsidRDefault="0020555A" w:rsidP="0020555A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Ansi="华文中宋" w:hint="eastAsia"/>
          <w:sz w:val="24"/>
        </w:rPr>
      </w:pPr>
      <w:r>
        <w:rPr>
          <w:rFonts w:ascii="楷体_GB2312" w:eastAsia="楷体_GB2312" w:hAnsi="华文中宋" w:hint="eastAsia"/>
          <w:sz w:val="24"/>
        </w:rPr>
        <w:t>20131120</w:t>
      </w:r>
    </w:p>
    <w:p w:rsidR="0020555A" w:rsidRDefault="0020555A" w:rsidP="0020555A">
      <w:pPr>
        <w:spacing w:line="320" w:lineRule="exact"/>
        <w:ind w:firstLineChars="200" w:firstLine="480"/>
        <w:rPr>
          <w:rFonts w:ascii="楷体_GB2312" w:eastAsia="楷体_GB2312" w:hint="eastAsia"/>
          <w:bCs/>
          <w:sz w:val="24"/>
        </w:rPr>
      </w:pPr>
    </w:p>
    <w:p w:rsidR="0020555A" w:rsidRDefault="0020555A" w:rsidP="0020555A">
      <w:pPr>
        <w:spacing w:line="360" w:lineRule="auto"/>
        <w:rPr>
          <w:rFonts w:hint="eastAsia"/>
          <w:bCs/>
          <w:sz w:val="24"/>
        </w:rPr>
      </w:pPr>
    </w:p>
    <w:p w:rsidR="0020555A" w:rsidRDefault="0020555A" w:rsidP="0020555A">
      <w:pPr>
        <w:spacing w:line="360" w:lineRule="auto"/>
        <w:rPr>
          <w:rFonts w:hint="eastAsia"/>
          <w:b/>
          <w:bCs/>
          <w:sz w:val="24"/>
        </w:rPr>
      </w:pPr>
    </w:p>
    <w:p w:rsidR="0020555A" w:rsidRDefault="0020555A" w:rsidP="0020555A">
      <w:pPr>
        <w:jc w:val="center"/>
        <w:rPr>
          <w:rFonts w:ascii="宋体" w:hAnsi="宋体" w:hint="eastAsia"/>
          <w:b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/>
          <w:b/>
          <w:bCs/>
          <w:sz w:val="32"/>
          <w:szCs w:val="32"/>
        </w:rPr>
        <w:t>732003</w:t>
      </w:r>
      <w:r>
        <w:rPr>
          <w:rFonts w:ascii="宋体" w:hAnsi="宋体" w:hint="eastAsia"/>
          <w:b/>
          <w:bCs/>
          <w:sz w:val="32"/>
          <w:szCs w:val="32"/>
        </w:rPr>
        <w:t>）</w:t>
      </w:r>
      <w:r>
        <w:rPr>
          <w:rFonts w:ascii="宋体" w:hAnsi="宋体" w:hint="eastAsia"/>
          <w:b/>
          <w:sz w:val="32"/>
          <w:szCs w:val="32"/>
        </w:rPr>
        <w:t>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秦皮中七叶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苷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和七叶内酯的提取、分离与鉴定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01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1、掌握香豆精类成分的提取、分离方法。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2、了解天然药物中内酯、香豆精成分的鉴别方法。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以乙醇提取七叶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苷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和七叶内酯。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以醋酸乙酯萃取法分离二化合物。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3、鉴别实验，包括显色反应和薄层法。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七叶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苷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和七叶内酯均能溶于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沸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乙醇中，可用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沸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乙醇将二者提取出来，并利用二者在醋酸乙酯中溶解度的不同进行分离。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旋转薄膜蒸发器，真空水泵，三用水箱，紫外灯，超声波清洗机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133101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秦皮30g，95%乙醇200ml，氯仿200ml，乙酸乙酯200ml，甲醇100ml，盐酸羟胺10ml，三氯化铁50g，正丁醇50ml，冰醋酸10ml，氢氧化钠10g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43元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rPr>
          <w:rFonts w:ascii="宋体" w:hAnsi="宋体" w:hint="eastAsia"/>
          <w:b/>
          <w:sz w:val="32"/>
          <w:szCs w:val="32"/>
        </w:rPr>
      </w:pPr>
    </w:p>
    <w:p w:rsidR="0020555A" w:rsidRDefault="0020555A" w:rsidP="0020555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大黄中蒽醌类成分的提取、分离和鉴别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1、掌握蒽醌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甙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元的提取方法——酸水解法。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2、掌握pH梯度萃取法的原理及操作技术。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3、熟悉蒽醌类化合物的鉴定方法。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1、用稀硫酸水解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溶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蒽醌苷，以氯仿萃取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2、用pH梯度萃取法分离游离羟基蒽醌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3、薄层法鉴别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利用稀硫酸水解蒽醌苷成游离羟基蒽醌，用氯仿提取；对于酸性不同的羟基蒽醌化合物，采用PH梯度萃取法分离它们；对于酸性相近的，采用离心薄层色谱进行分离。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旋转薄膜蒸发器，三用水箱，真空水泵，暗箱式微型双光紫外系统-GL-200，超声波清洗机，KH-CTLC型制备离心薄层色谱仪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133101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大黄100g，氯仿500ml，薄层层析硅胶板5块，盐酸50ml，冰醋酸50ml，硫酸10ml，甲酸10ml，碳酸钠100g，碳酸氢钠100g，氢氧化钠50g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46元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实验项目卡3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芦丁的提取与鉴定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1、通过芦丁的提取与精制，掌握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碱溶酸沉法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提取黄酮类化合物的原理及操作。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2、了解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苷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类结构研究的一般程序和方法。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3、了解UV在黄酮类化合物结构鉴定中的应用。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芦丁的提取和精制。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芦丁的鉴定。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芦丁溶于热水，难溶于冷水，且分子具较多酚羟基，显弱酸性，在建业中易溶，在酸中易析出沉淀，故可采用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碱提酸沉法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提取芦丁。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封闭电炉，旋转薄膜蒸发器，真空水泵，超声波清洗机，紫外灯，电磁炉，烘干箱，电吹风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槐米40g，氧化钙50g，PH试纸1本，盐酸100ml，镁粉50g，二氯氧锆5g，α—萘酚5g，三氯化铝5g，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槲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皮素标准品1g，</w:t>
            </w:r>
            <w:r>
              <w:rPr>
                <w:rFonts w:ascii="楷体" w:eastAsia="楷体" w:hAnsi="楷体" w:hint="eastAsia"/>
                <w:sz w:val="24"/>
              </w:rPr>
              <w:t>滤纸10张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25元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实验项目卡4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人参皂苷Re的提取分离与鉴定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必做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1、掌握柱层析法分离人参皂苷的操作程序。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2、掌握薄层层析在皂苷检识中的应用。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3、学习利用核磁共振法测定人参皂苷类成分结构的方法。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大孔吸附树脂法提取人参皂苷。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硅胶柱层析分离人参皂苷Re。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薄层鉴别。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4、核磁共振法测定结构。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人参果肉中含有脂溶性杂质，用乙醚脱脂后，利于水溶性皂苷在树脂上的吸附，藉此提取皂苷，且利用Re溶于热乙醇，在冷乙醇中溶解度小的特点析出Re，与其它成分分离。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旋转薄膜蒸发器，三用水箱，真空水泵，紫外灯，核磁共振仪，紫外检测仪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大孔吸附树脂500g，柱层析硅胶200g，C18反相柱填料50g，氯仿500ml，甲醇500ml，乙酸乙酯1000ml，硅胶薄层板10块，反相薄层板10块，人参果肉50，人参皂苷Re标准品1g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68元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实验项目卡5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虎杖中游离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蒽醌的提取、分离与鉴定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05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选做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1、了解用PH梯度萃取法分离酸性成分的一般方法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2、了解蒽醌类成分的一般性质，提取方法及鉴别反应。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乙醇提取总蒽醌。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不同碱度的碱水萃取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3、高效液相色谱法检测蒽醌含量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虎杖中游离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蒽醌酸性不同，采用乙醇提取，转溶于乙醚中，再以梯度PH萃取法分别萃取不同酸性的蒽醌。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高效液相色谱仪，旋转薄膜蒸发器，三用水箱，真空水泵，超声波清洗机，紫外灯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虎杖150g，乙醇1000ml，乙醚500ml，盐酸100ml，碳酸钠50g，氢氧化钠50g，碳酸氢钠50g，丙酮50ml，苯10ml，乙酸乙酯200ml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35元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实验项目卡6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挥发油的提取与鉴定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06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选做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1、掌握含挥发油药材中挥发油的水蒸气蒸馏提取法；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2、掌握超临界萃取法提取挥发油的方法。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3、掌握利用气相色谱-质谱联用法检测挥发油成分的方法。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ab/>
              <w:t>采用水蒸气蒸馏法和超临界萃取法提取挥发油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2、进行气相色谱/质谱检测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利用水蒸气蒸馏或超临界萃取提取肉豆蔻中的挥发油，由学生根据肉豆蔻中挥发油的性质制定相应的试验计划，利用气/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质联用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仪检测所得挥发油的成分组成。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1.演示性□；2.验证性□；3.综合性□；4.设计性□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气相色谱/质谱，超临界CO2萃取器，挥发油提取器，粉碎机，紫外灯，三用水箱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肉豆蔻200g，薄层硅胶板10块，乙醚200ml，脱脂棉10g，香草醛1g，95%乙醇100ml，滤纸</w:t>
            </w:r>
            <w:r>
              <w:rPr>
                <w:rFonts w:ascii="楷体" w:eastAsia="楷体" w:hAnsi="楷体" w:hint="eastAsia"/>
                <w:sz w:val="24"/>
              </w:rPr>
              <w:t>10张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，蒸馏水,</w:t>
            </w:r>
            <w:r>
              <w:rPr>
                <w:rFonts w:ascii="楷体" w:eastAsia="楷体" w:hAnsi="楷体" w:cs="宋体" w:hint="eastAsia"/>
                <w:sz w:val="24"/>
              </w:rPr>
              <w:t xml:space="preserve"> 毛细管20根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32元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/>
    <w:p w:rsidR="0020555A" w:rsidRDefault="0020555A" w:rsidP="0020555A">
      <w:pPr>
        <w:jc w:val="center"/>
        <w:rPr>
          <w:b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实验项目卡7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苦参中氧化苦参碱和苦参碱的提取、分离及鉴定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07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选做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1、掌握用离子交换法提取生物碱的原理和方法。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2、掌握从苦参总碱中分离氧化苦参碱的方法。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3、了解和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熟练用渗漉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提取法及索氏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提取器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连续回流提取。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4、掌握生物碱的常规性检识方法。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1、酸水提取总生物碱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2、通过阳离子树脂柱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3、氨水洗脱，乙醚萃取</w:t>
            </w:r>
          </w:p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4、液-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质联用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仪检测苦参碱含量。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苦参碱可与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酸结合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成盐，因此采用酸水提取法。总生物碱采用阳离子交换树脂吸附，氨水碱化后，以有机溶剂提取即得。氧化苦参碱在乙醚中难溶而与其它生物碱分离。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1.演示性□；2.验证性□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液相色谱-质谱联用仪，旋转薄膜蒸发器，三用水箱，真空水泵，超声波清洗机，双孔水浴锅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20套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199904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天然药物化学实验室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苦参100g，盐酸50ml，阳离子交换树脂200g，浓氨水20ml，氯仿200ml，无水硫酸钠50g，丙酮200ml，乙醚200ml，氧化苦参碱标准品1g，苦参碱1g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48元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>
      <w:pPr>
        <w:jc w:val="center"/>
        <w:rPr>
          <w:b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sz w:val="32"/>
          <w:szCs w:val="32"/>
        </w:rPr>
        <w:lastRenderedPageBreak/>
        <w:t>天然药物化学（</w:t>
      </w:r>
      <w:r>
        <w:rPr>
          <w:rFonts w:ascii="宋体" w:hAnsi="宋体" w:hint="eastAsia"/>
          <w:b/>
          <w:bCs/>
          <w:sz w:val="32"/>
          <w:szCs w:val="32"/>
        </w:rPr>
        <w:t>732003）</w:t>
      </w:r>
      <w:r>
        <w:rPr>
          <w:rFonts w:ascii="宋体" w:hAnsi="宋体" w:hint="eastAsia"/>
          <w:b/>
          <w:sz w:val="32"/>
          <w:szCs w:val="32"/>
        </w:rPr>
        <w:t>实验项目卡8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0"/>
        <w:gridCol w:w="1825"/>
        <w:gridCol w:w="6271"/>
      </w:tblGrid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No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字段名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填写内容</w:t>
            </w:r>
          </w:p>
        </w:tc>
      </w:tr>
      <w:tr w:rsidR="0020555A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天然药物化学实验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</w:p>
        </w:tc>
      </w:tr>
      <w:tr w:rsidR="0020555A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天然药化研究现代仪器的操作演示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/>
                <w:kern w:val="0"/>
                <w:sz w:val="24"/>
              </w:rPr>
              <w:t>732003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网络实验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每组人数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8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10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计划学时数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实验性质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9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演示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实验目的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了解天然药物化学研究中常用的现代仪器设备。</w:t>
            </w:r>
          </w:p>
          <w:p w:rsidR="0020555A" w:rsidRDefault="0020555A" w:rsidP="0063328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掌握主要仪器的操作规程和注意事项。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实验内容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用于天然药物化学研究的现代仪器设备的操作演示，包括超临界CO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萃取设备，多功能提取罐，中压柱层析系统，制备型高效液相色谱仪，</w:t>
            </w:r>
            <w:r>
              <w:rPr>
                <w:rFonts w:ascii="楷体" w:eastAsia="楷体" w:hAnsi="楷体" w:hint="eastAsia"/>
                <w:bCs/>
                <w:sz w:val="24"/>
              </w:rPr>
              <w:t>高速逆流色谱仪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等。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实验原理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按照各个仪器设备的操作说明书进行演示，重点说明操作时的注意事项。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实验类型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1.演示性□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√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；2.验证性□；3.综合性□；4.设计性□；5.研究性□。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实验者层次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本科生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实验仪器设备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超临界CO</w:t>
            </w:r>
            <w:r>
              <w:rPr>
                <w:rFonts w:ascii="楷体" w:eastAsia="楷体" w:hAnsi="楷体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萃取设备，多功能提取罐，中压柱层析系统（</w:t>
            </w:r>
            <w:r>
              <w:rPr>
                <w:rFonts w:ascii="楷体" w:eastAsia="楷体" w:hAnsi="楷体" w:hint="eastAsia"/>
                <w:bCs/>
                <w:sz w:val="24"/>
              </w:rPr>
              <w:t>瑞士布奇</w:t>
            </w:r>
            <w:r>
              <w:rPr>
                <w:rFonts w:ascii="楷体" w:eastAsia="楷体" w:hAnsi="楷体" w:hint="eastAsia"/>
                <w:b/>
                <w:bCs/>
              </w:rPr>
              <w:t>）</w:t>
            </w:r>
            <w:r>
              <w:rPr>
                <w:rFonts w:ascii="楷体" w:eastAsia="楷体" w:hAnsi="楷体" w:cs="宋体" w:hint="eastAsia"/>
                <w:kern w:val="0"/>
                <w:sz w:val="24"/>
              </w:rPr>
              <w:t>，制备型高效液相色谱仪（Waters），</w:t>
            </w:r>
            <w:r>
              <w:rPr>
                <w:rFonts w:ascii="楷体" w:eastAsia="楷体" w:hAnsi="楷体" w:hint="eastAsia"/>
                <w:bCs/>
                <w:sz w:val="24"/>
              </w:rPr>
              <w:t>高速逆流色谱仪，智能崩解仪，喷雾干燥机，旋转式压片机，摇摆式颗粒机，渗透压测定仪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实验套数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Chars="-43" w:left="-90" w:firstLineChars="50" w:firstLine="12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4套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开出时间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6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201404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教学单位编号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73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实验单位名称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药学实验中心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实验中心编号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133103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实验地名称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药学院-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紫元药物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研发中心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实验地编号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7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药学院308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一次性材料品名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95%乙醇500ml，氯仿500ml，甲醇500ml，乙酸乙酯200ml，石油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4"/>
              </w:rPr>
              <w:t>醚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4"/>
              </w:rPr>
              <w:t>100ml，丙酮100ml，色谱甲醇500ml，色谱乙腈500ml，色谱用纯净水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一次性材料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ind w:left="-90"/>
              <w:rPr>
                <w:rFonts w:ascii="楷体" w:eastAsia="楷体" w:hAnsi="楷体" w:cs="宋体" w:hint="eastAsia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58元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面向专业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药学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卡制定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刘继华</w:t>
            </w:r>
          </w:p>
        </w:tc>
      </w:tr>
      <w:tr w:rsidR="0020555A" w:rsidTr="0063328B">
        <w:trPr>
          <w:cantSplit/>
          <w:trHeight w:val="28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实验项目卡审核人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55A" w:rsidRDefault="0020555A" w:rsidP="0063328B">
            <w:pPr>
              <w:autoSpaceDE w:val="0"/>
              <w:autoSpaceDN w:val="0"/>
              <w:adjustRightInd w:val="0"/>
              <w:spacing w:line="240" w:lineRule="atLeast"/>
              <w:rPr>
                <w:rFonts w:ascii="楷体" w:eastAsia="楷体" w:hAnsi="楷体" w:cs="宋体" w:hint="eastAsia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王永生</w:t>
            </w:r>
          </w:p>
        </w:tc>
      </w:tr>
    </w:tbl>
    <w:p w:rsidR="0020555A" w:rsidRDefault="0020555A" w:rsidP="0020555A"/>
    <w:p w:rsidR="0020555A" w:rsidRDefault="0020555A" w:rsidP="0020555A">
      <w:pPr>
        <w:rPr>
          <w:rFonts w:hint="eastAsia"/>
        </w:rPr>
      </w:pPr>
    </w:p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宋体"/>
    <w:charset w:val="86"/>
    <w:family w:val="roma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B64"/>
    <w:multiLevelType w:val="multilevel"/>
    <w:tmpl w:val="0DF81B6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AF0D1E"/>
    <w:multiLevelType w:val="multilevel"/>
    <w:tmpl w:val="2FAF0D1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63C5FF1"/>
    <w:multiLevelType w:val="multilevel"/>
    <w:tmpl w:val="363C5FF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39B45DF2"/>
    <w:multiLevelType w:val="multilevel"/>
    <w:tmpl w:val="39B45DF2"/>
    <w:lvl w:ilvl="0">
      <w:start w:val="12"/>
      <w:numFmt w:val="decimal"/>
      <w:lvlText w:val="%1．"/>
      <w:lvlJc w:val="left"/>
      <w:pPr>
        <w:ind w:left="119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EC25784"/>
    <w:multiLevelType w:val="multilevel"/>
    <w:tmpl w:val="3EC25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1F22C79"/>
    <w:multiLevelType w:val="multilevel"/>
    <w:tmpl w:val="41F22C79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EB698E"/>
    <w:multiLevelType w:val="multilevel"/>
    <w:tmpl w:val="55EB6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AF7C9D"/>
    <w:multiLevelType w:val="multilevel"/>
    <w:tmpl w:val="67AF7C9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9D15499"/>
    <w:multiLevelType w:val="multilevel"/>
    <w:tmpl w:val="69D1549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6A8F4711"/>
    <w:multiLevelType w:val="multilevel"/>
    <w:tmpl w:val="6A8F47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55A"/>
    <w:rsid w:val="0020555A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Colorful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05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555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bookattfontblack1">
    <w:name w:val="bookattfontblack1"/>
    <w:basedOn w:val="a0"/>
    <w:rsid w:val="0020555A"/>
    <w:rPr>
      <w:rFonts w:ascii="瀹嬩綋" w:eastAsia="瀹嬩綋" w:hint="eastAsia"/>
      <w:color w:val="000000"/>
      <w:sz w:val="18"/>
      <w:szCs w:val="18"/>
    </w:rPr>
  </w:style>
  <w:style w:type="character" w:styleId="a3">
    <w:name w:val="annotation reference"/>
    <w:basedOn w:val="a0"/>
    <w:uiPriority w:val="99"/>
    <w:unhideWhenUsed/>
    <w:rsid w:val="0020555A"/>
    <w:rPr>
      <w:sz w:val="21"/>
      <w:szCs w:val="21"/>
    </w:rPr>
  </w:style>
  <w:style w:type="character" w:customStyle="1" w:styleId="Char">
    <w:name w:val="批注主题 Char"/>
    <w:basedOn w:val="Char0"/>
    <w:link w:val="a4"/>
    <w:uiPriority w:val="99"/>
    <w:rsid w:val="0020555A"/>
    <w:rPr>
      <w:b/>
      <w:bCs/>
    </w:rPr>
  </w:style>
  <w:style w:type="character" w:customStyle="1" w:styleId="Char1">
    <w:name w:val="页脚 Char"/>
    <w:basedOn w:val="a0"/>
    <w:link w:val="a5"/>
    <w:uiPriority w:val="99"/>
    <w:rsid w:val="0020555A"/>
    <w:rPr>
      <w:sz w:val="18"/>
      <w:szCs w:val="18"/>
    </w:rPr>
  </w:style>
  <w:style w:type="character" w:customStyle="1" w:styleId="Char0">
    <w:name w:val="批注文字 Char"/>
    <w:basedOn w:val="a0"/>
    <w:link w:val="a6"/>
    <w:uiPriority w:val="99"/>
    <w:rsid w:val="0020555A"/>
    <w:rPr>
      <w:rFonts w:ascii="Calibri" w:hAnsi="Calibri"/>
    </w:rPr>
  </w:style>
  <w:style w:type="character" w:customStyle="1" w:styleId="sy21">
    <w:name w:val="sy21"/>
    <w:basedOn w:val="a0"/>
    <w:rsid w:val="0020555A"/>
    <w:rPr>
      <w:sz w:val="21"/>
      <w:szCs w:val="21"/>
    </w:rPr>
  </w:style>
  <w:style w:type="character" w:customStyle="1" w:styleId="Char2">
    <w:name w:val="正文文本缩进 Char"/>
    <w:basedOn w:val="a0"/>
    <w:link w:val="a7"/>
    <w:rsid w:val="0020555A"/>
    <w:rPr>
      <w:color w:val="FF0000"/>
      <w:szCs w:val="21"/>
    </w:rPr>
  </w:style>
  <w:style w:type="character" w:customStyle="1" w:styleId="Char3">
    <w:name w:val="批注框文本 Char"/>
    <w:basedOn w:val="a0"/>
    <w:link w:val="a8"/>
    <w:uiPriority w:val="99"/>
    <w:rsid w:val="0020555A"/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20555A"/>
    <w:rPr>
      <w:sz w:val="18"/>
      <w:szCs w:val="18"/>
    </w:rPr>
  </w:style>
  <w:style w:type="character" w:styleId="aa">
    <w:name w:val="Hyperlink"/>
    <w:basedOn w:val="a0"/>
    <w:rsid w:val="0020555A"/>
    <w:rPr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basedOn w:val="a0"/>
    <w:link w:val="2"/>
    <w:uiPriority w:val="99"/>
    <w:rsid w:val="0020555A"/>
    <w:rPr>
      <w:szCs w:val="24"/>
    </w:rPr>
  </w:style>
  <w:style w:type="paragraph" w:styleId="a9">
    <w:name w:val="header"/>
    <w:basedOn w:val="a"/>
    <w:link w:val="Char4"/>
    <w:uiPriority w:val="99"/>
    <w:rsid w:val="0020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9"/>
    <w:uiPriority w:val="99"/>
    <w:semiHidden/>
    <w:rsid w:val="0020555A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0555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annotation text"/>
    <w:basedOn w:val="a"/>
    <w:link w:val="Char0"/>
    <w:uiPriority w:val="99"/>
    <w:unhideWhenUsed/>
    <w:rsid w:val="0020555A"/>
    <w:pPr>
      <w:jc w:val="left"/>
    </w:pPr>
    <w:rPr>
      <w:rFonts w:ascii="Calibri" w:eastAsiaTheme="minorEastAsia" w:hAnsi="Calibri" w:cstheme="minorBidi"/>
      <w:szCs w:val="22"/>
    </w:rPr>
  </w:style>
  <w:style w:type="character" w:customStyle="1" w:styleId="Char11">
    <w:name w:val="批注文字 Char1"/>
    <w:basedOn w:val="a0"/>
    <w:link w:val="a6"/>
    <w:uiPriority w:val="99"/>
    <w:semiHidden/>
    <w:rsid w:val="0020555A"/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Char2"/>
    <w:rsid w:val="0020555A"/>
    <w:pPr>
      <w:ind w:left="420"/>
    </w:pPr>
    <w:rPr>
      <w:rFonts w:asciiTheme="minorHAnsi" w:eastAsiaTheme="minorEastAsia" w:hAnsiTheme="minorHAnsi" w:cstheme="minorBidi"/>
      <w:color w:val="FF0000"/>
      <w:szCs w:val="21"/>
    </w:rPr>
  </w:style>
  <w:style w:type="character" w:customStyle="1" w:styleId="Char12">
    <w:name w:val="正文文本缩进 Char1"/>
    <w:basedOn w:val="a0"/>
    <w:link w:val="a7"/>
    <w:uiPriority w:val="99"/>
    <w:semiHidden/>
    <w:rsid w:val="0020555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rsid w:val="00205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link w:val="a5"/>
    <w:uiPriority w:val="99"/>
    <w:semiHidden/>
    <w:rsid w:val="0020555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rsid w:val="0020555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link w:val="a8"/>
    <w:uiPriority w:val="99"/>
    <w:semiHidden/>
    <w:rsid w:val="0020555A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rsid w:val="0020555A"/>
    <w:pPr>
      <w:spacing w:after="120" w:line="480" w:lineRule="auto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2Char1">
    <w:name w:val="正文文本缩进 2 Char1"/>
    <w:basedOn w:val="a0"/>
    <w:link w:val="2"/>
    <w:uiPriority w:val="99"/>
    <w:semiHidden/>
    <w:rsid w:val="0020555A"/>
    <w:rPr>
      <w:rFonts w:ascii="Times New Roman" w:eastAsia="宋体" w:hAnsi="Times New Roman" w:cs="Times New Roman"/>
      <w:szCs w:val="24"/>
    </w:rPr>
  </w:style>
  <w:style w:type="paragraph" w:styleId="a4">
    <w:name w:val="annotation subject"/>
    <w:basedOn w:val="a6"/>
    <w:next w:val="a6"/>
    <w:link w:val="Char"/>
    <w:uiPriority w:val="99"/>
    <w:unhideWhenUsed/>
    <w:rsid w:val="0020555A"/>
    <w:rPr>
      <w:b/>
      <w:bCs/>
    </w:rPr>
  </w:style>
  <w:style w:type="character" w:customStyle="1" w:styleId="Char15">
    <w:name w:val="批注主题 Char1"/>
    <w:basedOn w:val="Char11"/>
    <w:link w:val="a4"/>
    <w:uiPriority w:val="99"/>
    <w:semiHidden/>
    <w:rsid w:val="0020555A"/>
    <w:rPr>
      <w:b/>
      <w:bCs/>
    </w:rPr>
  </w:style>
  <w:style w:type="paragraph" w:customStyle="1" w:styleId="Default">
    <w:name w:val="Default"/>
    <w:rsid w:val="0020555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rsid w:val="002055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Colorful 3"/>
    <w:basedOn w:val="a1"/>
    <w:rsid w:val="002055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2016-02-01T02:52:00Z</dcterms:created>
  <dcterms:modified xsi:type="dcterms:W3CDTF">2016-02-01T02:53:00Z</dcterms:modified>
</cp:coreProperties>
</file>