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4D" w:rsidRDefault="0010064D" w:rsidP="0010064D">
      <w:pPr>
        <w:pStyle w:val="1"/>
        <w:spacing w:before="156" w:after="156" w:line="40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药物化学</w:t>
      </w:r>
      <w:r>
        <w:rPr>
          <w:rFonts w:ascii="楷体_GB2312" w:eastAsia="楷体_GB2312" w:hAnsi="华文中宋"/>
          <w:sz w:val="32"/>
          <w:szCs w:val="32"/>
        </w:rPr>
        <w:fldChar w:fldCharType="begin"/>
      </w:r>
      <w:r>
        <w:rPr>
          <w:rFonts w:ascii="楷体_GB2312" w:eastAsia="楷体_GB2312" w:hAnsi="华文中宋"/>
          <w:sz w:val="32"/>
          <w:szCs w:val="32"/>
        </w:rPr>
        <w:instrText xml:space="preserve"> </w:instrText>
      </w:r>
      <w:r>
        <w:rPr>
          <w:rFonts w:ascii="楷体_GB2312" w:eastAsia="楷体_GB2312" w:hAnsi="华文中宋" w:hint="eastAsia"/>
          <w:sz w:val="32"/>
          <w:szCs w:val="32"/>
        </w:rPr>
        <w:instrText>= 2 \* ROMAN</w:instrText>
      </w:r>
      <w:r>
        <w:rPr>
          <w:rFonts w:ascii="楷体_GB2312" w:eastAsia="楷体_GB2312" w:hAnsi="华文中宋"/>
          <w:sz w:val="32"/>
          <w:szCs w:val="32"/>
        </w:rPr>
        <w:instrText xml:space="preserve"> </w:instrText>
      </w:r>
      <w:r>
        <w:rPr>
          <w:rFonts w:ascii="楷体_GB2312" w:eastAsia="楷体_GB2312" w:hAnsi="华文中宋"/>
          <w:sz w:val="32"/>
          <w:szCs w:val="32"/>
        </w:rPr>
        <w:fldChar w:fldCharType="separate"/>
      </w:r>
      <w:r>
        <w:rPr>
          <w:rFonts w:ascii="楷体_GB2312" w:eastAsia="楷体_GB2312" w:hAnsi="华文中宋"/>
          <w:sz w:val="32"/>
          <w:szCs w:val="32"/>
          <w:lang w:val="en-US" w:eastAsia="zh-CN"/>
        </w:rPr>
        <w:t>II</w:t>
      </w:r>
      <w:r>
        <w:rPr>
          <w:rFonts w:ascii="楷体_GB2312" w:eastAsia="楷体_GB2312" w:hAnsi="华文中宋"/>
          <w:sz w:val="32"/>
          <w:szCs w:val="32"/>
        </w:rPr>
        <w:fldChar w:fldCharType="end"/>
      </w:r>
      <w:r>
        <w:rPr>
          <w:rFonts w:ascii="楷体_GB2312" w:eastAsia="楷体_GB2312" w:hAnsi="华文中宋" w:hint="eastAsia"/>
          <w:sz w:val="32"/>
          <w:szCs w:val="32"/>
        </w:rPr>
        <w:t>（732012）实验教学大纲</w:t>
      </w:r>
    </w:p>
    <w:p w:rsidR="0010064D" w:rsidRDefault="0010064D" w:rsidP="0010064D">
      <w:pPr>
        <w:rPr>
          <w:rFonts w:ascii="楷体_GB2312" w:eastAsia="楷体_GB2312" w:hint="eastAsia"/>
        </w:rPr>
      </w:pP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01．教学单位名称：</w:t>
      </w:r>
      <w:r>
        <w:rPr>
          <w:rFonts w:ascii="楷体_GB2312" w:eastAsia="楷体_GB2312" w:hAnsi="华文中宋" w:hint="eastAsia"/>
          <w:sz w:val="24"/>
        </w:rPr>
        <w:t>药学院药物化学教研室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02．实验中心名称：</w:t>
      </w:r>
      <w:r>
        <w:rPr>
          <w:rFonts w:ascii="楷体_GB2312" w:eastAsia="楷体_GB2312" w:hAnsi="华文中宋" w:hint="eastAsia"/>
          <w:sz w:val="24"/>
        </w:rPr>
        <w:t>吉林大学药学院药学实验中心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03．课程名称：</w:t>
      </w:r>
      <w:r>
        <w:rPr>
          <w:rFonts w:ascii="楷体_GB2312" w:eastAsia="楷体_GB2312" w:hAnsi="华文中宋" w:hint="eastAsia"/>
          <w:sz w:val="24"/>
        </w:rPr>
        <w:t>药物化学</w:t>
      </w:r>
      <w:r>
        <w:rPr>
          <w:rFonts w:ascii="楷体_GB2312" w:eastAsia="楷体_GB2312" w:hAnsi="华文中宋"/>
          <w:sz w:val="24"/>
        </w:rPr>
        <w:fldChar w:fldCharType="begin"/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 w:hint="eastAsia"/>
          <w:sz w:val="24"/>
        </w:rPr>
        <w:instrText>= 2 \* ROMAN</w:instrText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/>
          <w:sz w:val="24"/>
        </w:rPr>
        <w:fldChar w:fldCharType="separate"/>
      </w:r>
      <w:r>
        <w:rPr>
          <w:rFonts w:ascii="楷体_GB2312" w:eastAsia="楷体_GB2312" w:hAnsi="华文中宋"/>
          <w:sz w:val="24"/>
        </w:rPr>
        <w:t>II</w:t>
      </w:r>
      <w:r>
        <w:rPr>
          <w:rFonts w:ascii="楷体_GB2312" w:eastAsia="楷体_GB2312" w:hAnsi="华文中宋"/>
          <w:sz w:val="24"/>
        </w:rPr>
        <w:fldChar w:fldCharType="end"/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04．课程代码：</w:t>
      </w:r>
      <w:r>
        <w:rPr>
          <w:rFonts w:ascii="楷体_GB2312" w:eastAsia="楷体_GB2312" w:hAnsi="华文中宋" w:hint="eastAsia"/>
          <w:sz w:val="24"/>
        </w:rPr>
        <w:t>732012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05．课程类别：</w:t>
      </w:r>
      <w:r>
        <w:rPr>
          <w:rFonts w:ascii="楷体_GB2312" w:eastAsia="楷体_GB2312" w:hAnsi="华文中宋" w:hint="eastAsia"/>
          <w:sz w:val="24"/>
        </w:rPr>
        <w:t>专业课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06．课程性质：</w:t>
      </w:r>
      <w:r>
        <w:rPr>
          <w:rFonts w:ascii="楷体_GB2312" w:eastAsia="楷体_GB2312" w:hAnsi="华文中宋" w:hint="eastAsia"/>
          <w:sz w:val="24"/>
        </w:rPr>
        <w:t>必修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07．课程学时：</w:t>
      </w:r>
      <w:r>
        <w:rPr>
          <w:rFonts w:ascii="楷体_GB2312" w:eastAsia="楷体_GB2312" w:hAnsi="华文中宋" w:hint="eastAsia"/>
          <w:sz w:val="24"/>
        </w:rPr>
        <w:t>64学时，其中含实验32学时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08．课程学分：</w:t>
      </w:r>
      <w:r>
        <w:rPr>
          <w:rFonts w:ascii="楷体_GB2312" w:eastAsia="楷体_GB2312" w:hAnsi="华文中宋" w:hint="eastAsia"/>
          <w:sz w:val="24"/>
        </w:rPr>
        <w:t>3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09．面向专业：</w:t>
      </w:r>
      <w:r>
        <w:rPr>
          <w:rFonts w:ascii="楷体_GB2312" w:eastAsia="楷体_GB2312" w:hAnsi="华文中宋" w:hint="eastAsia"/>
          <w:sz w:val="24"/>
        </w:rPr>
        <w:t>药学专业（化学药物方向）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10．实验课程的教学任务、要求和教学目的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药物化学</w:t>
      </w:r>
      <w:r>
        <w:rPr>
          <w:rFonts w:ascii="楷体_GB2312" w:eastAsia="楷体_GB2312" w:hAnsi="华文中宋"/>
          <w:sz w:val="24"/>
        </w:rPr>
        <w:fldChar w:fldCharType="begin"/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 w:hint="eastAsia"/>
          <w:sz w:val="24"/>
        </w:rPr>
        <w:instrText>= 2 \* ROMAN</w:instrText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/>
          <w:sz w:val="24"/>
        </w:rPr>
        <w:fldChar w:fldCharType="separate"/>
      </w:r>
      <w:r>
        <w:rPr>
          <w:rFonts w:ascii="楷体_GB2312" w:eastAsia="楷体_GB2312" w:hAnsi="华文中宋"/>
          <w:sz w:val="24"/>
        </w:rPr>
        <w:t>II</w:t>
      </w:r>
      <w:r>
        <w:rPr>
          <w:rFonts w:ascii="楷体_GB2312" w:eastAsia="楷体_GB2312" w:hAnsi="华文中宋"/>
          <w:sz w:val="24"/>
        </w:rPr>
        <w:fldChar w:fldCharType="end"/>
      </w:r>
      <w:r>
        <w:rPr>
          <w:rFonts w:ascii="楷体_GB2312" w:eastAsia="楷体_GB2312" w:hAnsi="华文中宋" w:hint="eastAsia"/>
          <w:sz w:val="24"/>
        </w:rPr>
        <w:t>实验课是专为药物化学专业方向学生开设的药物化学合成实验课，目的在于使学生在药物化学Ⅰ的基础上，通过设计性实验，巩固学生查阅资料、综合文献的能力，加强学生设计合成路线，独立进行实验的能力，并进一步提高学生分析和解决问题的能力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11．学生应掌握的实验技术及实验能力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>（</w:t>
      </w:r>
      <w:r>
        <w:rPr>
          <w:rFonts w:ascii="楷体_GB2312" w:eastAsia="楷体_GB2312" w:hAnsi="华文中宋"/>
          <w:sz w:val="24"/>
        </w:rPr>
        <w:t>1</w:t>
      </w:r>
      <w:r>
        <w:rPr>
          <w:rFonts w:ascii="楷体_GB2312" w:eastAsia="楷体_GB2312" w:hAnsi="华文中宋" w:hint="eastAsia"/>
          <w:sz w:val="24"/>
        </w:rPr>
        <w:t>）巩固学生查阅文献、综合文献的能力。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>（</w:t>
      </w:r>
      <w:r>
        <w:rPr>
          <w:rFonts w:ascii="楷体_GB2312" w:eastAsia="楷体_GB2312" w:hAnsi="华文中宋"/>
          <w:sz w:val="24"/>
        </w:rPr>
        <w:t>2</w:t>
      </w:r>
      <w:r>
        <w:rPr>
          <w:rFonts w:ascii="楷体_GB2312" w:eastAsia="楷体_GB2312" w:hAnsi="华文中宋" w:hint="eastAsia"/>
          <w:sz w:val="24"/>
        </w:rPr>
        <w:t>）提高设计合成路线，选择工艺条件为今后独立承担合成药物的工作奠定基础。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</w:t>
      </w:r>
      <w:r>
        <w:rPr>
          <w:rFonts w:ascii="楷体_GB2312" w:eastAsia="楷体_GB2312" w:hAnsi="华文中宋"/>
          <w:sz w:val="24"/>
        </w:rPr>
        <w:t>3</w:t>
      </w:r>
      <w:r>
        <w:rPr>
          <w:rFonts w:ascii="楷体_GB2312" w:eastAsia="楷体_GB2312" w:hAnsi="华文中宋" w:hint="eastAsia"/>
          <w:sz w:val="24"/>
        </w:rPr>
        <w:t>）掌握合成化学药物的总体设计的思路与方法。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12．开设实验项目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宋体" w:cs="宋体" w:hint="eastAsia"/>
          <w:kern w:val="0"/>
          <w:sz w:val="24"/>
        </w:rPr>
      </w:pPr>
      <w:r>
        <w:rPr>
          <w:rFonts w:ascii="楷体_GB2312" w:eastAsia="楷体_GB2312" w:hAnsi="华文中宋" w:hint="eastAsia"/>
          <w:sz w:val="24"/>
        </w:rPr>
        <w:t>实验1：</w:t>
      </w:r>
      <w:r>
        <w:rPr>
          <w:rFonts w:ascii="楷体_GB2312" w:eastAsia="楷体_GB2312" w:hAnsi="宋体" w:cs="宋体" w:hint="eastAsia"/>
          <w:kern w:val="0"/>
          <w:sz w:val="24"/>
        </w:rPr>
        <w:t>水杨酰苯胺的合成，通过水杨酸苯酯和水杨酰苯胺的制备，掌握酚酯化和酰胺化的反应原理。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宋体" w:cs="宋体" w:hint="eastAsia"/>
          <w:kern w:val="0"/>
          <w:sz w:val="24"/>
        </w:rPr>
        <w:t>实验2：</w:t>
      </w:r>
      <w:r>
        <w:rPr>
          <w:rFonts w:ascii="楷体_GB2312" w:eastAsia="楷体_GB2312" w:hAnsi="宋体" w:cs="宋体" w:hint="eastAsia"/>
          <w:bCs/>
          <w:kern w:val="0"/>
          <w:sz w:val="24"/>
        </w:rPr>
        <w:t>盐酸普鲁卡因的制备，掌握酯化、还原、成盐和精制的原理及基本操作技术。</w:t>
      </w:r>
    </w:p>
    <w:p w:rsidR="0010064D" w:rsidRDefault="0010064D" w:rsidP="0010064D">
      <w:pPr>
        <w:adjustRightInd w:val="0"/>
        <w:snapToGrid w:val="0"/>
        <w:spacing w:line="320" w:lineRule="exact"/>
        <w:jc w:val="center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开设实验项目一览表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2340"/>
        <w:gridCol w:w="1080"/>
        <w:gridCol w:w="1080"/>
        <w:gridCol w:w="1080"/>
        <w:gridCol w:w="924"/>
        <w:gridCol w:w="900"/>
      </w:tblGrid>
      <w:tr w:rsidR="0010064D" w:rsidTr="0063328B">
        <w:trPr>
          <w:trHeight w:val="285"/>
        </w:trPr>
        <w:tc>
          <w:tcPr>
            <w:tcW w:w="1445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实验项目编号</w:t>
            </w:r>
          </w:p>
        </w:tc>
        <w:tc>
          <w:tcPr>
            <w:tcW w:w="234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实验项目名称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实验性质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实验学时</w:t>
            </w:r>
          </w:p>
        </w:tc>
        <w:tc>
          <w:tcPr>
            <w:tcW w:w="924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每组人数</w:t>
            </w:r>
          </w:p>
        </w:tc>
        <w:tc>
          <w:tcPr>
            <w:tcW w:w="900" w:type="dxa"/>
          </w:tcPr>
          <w:p w:rsidR="0010064D" w:rsidRDefault="0010064D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首次开出年月</w:t>
            </w:r>
          </w:p>
        </w:tc>
      </w:tr>
      <w:tr w:rsidR="0010064D" w:rsidTr="0063328B">
        <w:trPr>
          <w:trHeight w:val="285"/>
        </w:trPr>
        <w:tc>
          <w:tcPr>
            <w:tcW w:w="1445" w:type="dxa"/>
            <w:vAlign w:val="center"/>
          </w:tcPr>
          <w:p w:rsidR="0010064D" w:rsidRDefault="0010064D" w:rsidP="0063328B">
            <w:pPr>
              <w:adjustRightInd w:val="0"/>
              <w:snapToGrid w:val="0"/>
              <w:spacing w:line="320" w:lineRule="exac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73201201</w:t>
            </w:r>
          </w:p>
        </w:tc>
        <w:tc>
          <w:tcPr>
            <w:tcW w:w="2340" w:type="dxa"/>
            <w:vAlign w:val="center"/>
          </w:tcPr>
          <w:p w:rsidR="0010064D" w:rsidRDefault="0010064D" w:rsidP="0063328B">
            <w:pPr>
              <w:widowControl/>
              <w:tabs>
                <w:tab w:val="left" w:pos="2118"/>
              </w:tabs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水杨酰苯胺的合成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924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200809</w:t>
            </w:r>
          </w:p>
        </w:tc>
      </w:tr>
      <w:tr w:rsidR="0010064D" w:rsidTr="0063328B">
        <w:trPr>
          <w:trHeight w:val="285"/>
        </w:trPr>
        <w:tc>
          <w:tcPr>
            <w:tcW w:w="1445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732012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02</w:t>
            </w:r>
          </w:p>
        </w:tc>
        <w:tc>
          <w:tcPr>
            <w:tcW w:w="234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盐酸普鲁卡因的制备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924" w:type="dxa"/>
            <w:vAlign w:val="center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10064D" w:rsidRDefault="0010064D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200809</w:t>
            </w:r>
          </w:p>
        </w:tc>
      </w:tr>
    </w:tbl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13．实验教材或指导书或主要参考资料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实验教材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（1）杨晓虹，药物化学</w:t>
      </w:r>
      <w:r>
        <w:rPr>
          <w:rFonts w:ascii="楷体_GB2312" w:eastAsia="楷体_GB2312" w:hAnsi="华文中宋"/>
          <w:sz w:val="24"/>
        </w:rPr>
        <w:fldChar w:fldCharType="begin"/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 w:hint="eastAsia"/>
          <w:sz w:val="24"/>
        </w:rPr>
        <w:instrText>= 2 \* ROMAN</w:instrText>
      </w:r>
      <w:r>
        <w:rPr>
          <w:rFonts w:ascii="楷体_GB2312" w:eastAsia="楷体_GB2312" w:hAnsi="华文中宋"/>
          <w:sz w:val="24"/>
        </w:rPr>
        <w:instrText xml:space="preserve"> </w:instrText>
      </w:r>
      <w:r>
        <w:rPr>
          <w:rFonts w:ascii="楷体_GB2312" w:eastAsia="楷体_GB2312" w:hAnsi="华文中宋"/>
          <w:sz w:val="24"/>
        </w:rPr>
        <w:fldChar w:fldCharType="separate"/>
      </w:r>
      <w:r>
        <w:rPr>
          <w:rFonts w:ascii="楷体_GB2312" w:eastAsia="楷体_GB2312" w:hAnsi="华文中宋"/>
          <w:sz w:val="24"/>
        </w:rPr>
        <w:t>II</w:t>
      </w:r>
      <w:r>
        <w:rPr>
          <w:rFonts w:ascii="楷体_GB2312" w:eastAsia="楷体_GB2312" w:hAnsi="华文中宋"/>
          <w:sz w:val="24"/>
        </w:rPr>
        <w:fldChar w:fldCharType="end"/>
      </w:r>
      <w:r>
        <w:rPr>
          <w:rFonts w:ascii="楷体_GB2312" w:eastAsia="楷体_GB2312" w:hAnsi="华文中宋" w:hint="eastAsia"/>
          <w:sz w:val="24"/>
        </w:rPr>
        <w:t>实验指导，自编，2008年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主要参考资料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（1）孙铁民，药物化学实验，北京：中国医药科技出版社.2008。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（2）刘磊，有机化学实验，吉林：吉林科学出版社.2004。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（3）尤庆祥，药物有机化学实验教程，成都：成都科技大学出版社. 1998。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（4）尤启冬，药物化学（第七版），北京：人民卫生出版社. 2012。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14．考核要求、考核方式及成绩评定标准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学生的实验态度、实验操作、实验结果和实验报告四项为实验成绩评分的考核标准，考核成绩占《药物化学I》总成绩的30％。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lastRenderedPageBreak/>
        <w:t>实验课成绩共30分，学时为32学时，平均每学时0.9375分。即16学时实验的考核分数为15分。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实验态度：认真参加实验教学，遵守课堂纪律，不迟到不早退。遵守实验室规章制度。实验态度占该实验课成绩的比例为10%。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实验操作：认真做好课前预习。严格遵守仪器操作规程，如实记录实验数据，认真观察和分析实验现象。实验结束后将实验用品、仪器设备等整理复位。实验操作占该实验课成绩的比例为50%。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实验结果：独立分析实验结果，严禁抄袭和伪造实验数据。实验结果占实验课成绩的比例为10%。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实验报告：认真撰写实验报告，并按规定的时间和要求提交。实验报告中图表清晰、字迹工整、原始数据齐全、数据处理准确、讨论和分析问题简明扼要、表达清楚。实验报告占该实验课成绩的比例为30%。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缺交实验报告达五分之一，或缺做实验时数达五分之一，为实验成绩不及格。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15．执笔人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/>
          <w:bCs/>
          <w:sz w:val="24"/>
        </w:rPr>
      </w:pPr>
      <w:r>
        <w:rPr>
          <w:rFonts w:ascii="楷体_GB2312" w:eastAsia="楷体_GB2312" w:hAnsi="华文中宋" w:hint="eastAsia"/>
          <w:sz w:val="24"/>
        </w:rPr>
        <w:t>周小平副教授，</w:t>
      </w:r>
      <w:r>
        <w:rPr>
          <w:rFonts w:ascii="楷体_GB2312" w:eastAsia="楷体_GB2312" w:hAnsi="华文中宋" w:hint="eastAsia"/>
          <w:bCs/>
          <w:sz w:val="24"/>
        </w:rPr>
        <w:t>参与编写人员有杨晓虹教授、刘银燕副教授、孙薇讲师和梁迪讲师。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16．制定日期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20131023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17．审核人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杨晓虹教授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18．审核日期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20131126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19．学院审定程序说明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大纲制定完毕后首先由学院教学指导委员对实验内容进行审定，然后由负责该实验的实验中心对耗材及价格进行审定。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20．学院审定日期</w:t>
      </w:r>
    </w:p>
    <w:p w:rsidR="0010064D" w:rsidRDefault="0010064D" w:rsidP="0010064D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rPr>
          <w:rFonts w:hint="eastAsia"/>
        </w:rPr>
      </w:pPr>
    </w:p>
    <w:p w:rsidR="0010064D" w:rsidRDefault="0010064D" w:rsidP="0010064D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华文中宋"/>
          <w:b/>
          <w:sz w:val="28"/>
          <w:szCs w:val="28"/>
        </w:rPr>
      </w:pPr>
    </w:p>
    <w:p w:rsidR="0010064D" w:rsidRDefault="0010064D" w:rsidP="0010064D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药物化学</w:t>
      </w:r>
      <w:r>
        <w:rPr>
          <w:rFonts w:ascii="宋体" w:hAnsi="宋体"/>
          <w:b/>
          <w:sz w:val="32"/>
          <w:szCs w:val="32"/>
        </w:rPr>
        <w:fldChar w:fldCharType="begin"/>
      </w:r>
      <w:r>
        <w:rPr>
          <w:rFonts w:ascii="宋体" w:hAnsi="宋体"/>
          <w:b/>
          <w:sz w:val="32"/>
          <w:szCs w:val="32"/>
        </w:rPr>
        <w:instrText xml:space="preserve"> </w:instrText>
      </w:r>
      <w:r>
        <w:rPr>
          <w:rFonts w:ascii="宋体" w:hAnsi="宋体" w:hint="eastAsia"/>
          <w:b/>
          <w:sz w:val="32"/>
          <w:szCs w:val="32"/>
        </w:rPr>
        <w:instrText>= 2 \* ROMAN</w:instrText>
      </w:r>
      <w:r>
        <w:rPr>
          <w:rFonts w:ascii="宋体" w:hAnsi="宋体"/>
          <w:b/>
          <w:sz w:val="32"/>
          <w:szCs w:val="32"/>
        </w:rPr>
        <w:instrText xml:space="preserve"> </w:instrText>
      </w:r>
      <w:r>
        <w:rPr>
          <w:rFonts w:ascii="宋体" w:hAnsi="宋体"/>
          <w:b/>
          <w:sz w:val="32"/>
          <w:szCs w:val="32"/>
        </w:rPr>
        <w:fldChar w:fldCharType="separate"/>
      </w:r>
      <w:r>
        <w:rPr>
          <w:rFonts w:ascii="宋体" w:hAnsi="宋体"/>
          <w:b/>
          <w:sz w:val="32"/>
          <w:szCs w:val="32"/>
        </w:rPr>
        <w:t>II</w:t>
      </w:r>
      <w:r>
        <w:rPr>
          <w:rFonts w:ascii="宋体" w:hAnsi="宋体"/>
          <w:b/>
          <w:sz w:val="32"/>
          <w:szCs w:val="32"/>
        </w:rPr>
        <w:fldChar w:fldCharType="end"/>
      </w:r>
      <w:r>
        <w:rPr>
          <w:rFonts w:ascii="宋体" w:hAnsi="宋体" w:hint="eastAsia"/>
          <w:b/>
          <w:sz w:val="32"/>
          <w:szCs w:val="32"/>
        </w:rPr>
        <w:t>(732012)实验项目卡1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10064D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药物化学</w: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begin"/>
            </w:r>
            <w:r>
              <w:rPr>
                <w:rFonts w:ascii="楷体" w:eastAsia="楷体" w:hAnsi="楷体" w:cs="宋体"/>
                <w:kern w:val="0"/>
                <w:sz w:val="24"/>
              </w:rPr>
              <w:instrText xml:space="preserve"> 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= 2 \* ROMAN</w:instrText>
            </w:r>
            <w:r>
              <w:rPr>
                <w:rFonts w:ascii="楷体" w:eastAsia="楷体" w:hAnsi="楷体" w:cs="宋体"/>
                <w:kern w:val="0"/>
                <w:sz w:val="24"/>
              </w:rPr>
              <w:instrText xml:space="preserve"> </w:instrTex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separate"/>
            </w:r>
            <w:r>
              <w:rPr>
                <w:rFonts w:ascii="楷体" w:eastAsia="楷体" w:hAnsi="楷体" w:cs="宋体"/>
                <w:kern w:val="0"/>
                <w:sz w:val="24"/>
              </w:rPr>
              <w:t>II</w: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end"/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732012</w:t>
            </w:r>
          </w:p>
        </w:tc>
      </w:tr>
      <w:tr w:rsidR="0010064D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水杨酰苯胺的合成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73201201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16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综合性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（1）了解对药物结构的修饰方法。</w:t>
            </w:r>
          </w:p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（2）掌握酚酯化和酰胺化的反应原理。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（1）水杨酸苯酯的制备</w:t>
            </w:r>
          </w:p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（2）水杨酰苯胺的制备</w:t>
            </w:r>
          </w:p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（3）精制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实验采用先合成水杨酸苯酯，然后再将苯胺酰化，而不是直接用水杨酸酰化。这是因为，氨基中的氮原子的亲核能力较羟基的氧原子强，一般可用羧酸或羧酸酯为酰化剂，而酯基中则以苯酯最活泼，且避免了羧酸与氨基物成盐的问题，因此羧酸酯类作为酰化剂常被应用。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fldChar w:fldCharType="begin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 xml:space="preserve"> eq \o\ac(□,</w:instrText>
            </w:r>
            <w:r>
              <w:rPr>
                <w:rFonts w:ascii="楷体" w:eastAsia="楷体" w:hAnsi="楷体" w:cs="宋体" w:hint="eastAsia"/>
                <w:kern w:val="0"/>
                <w:position w:val="1"/>
                <w:sz w:val="24"/>
              </w:rPr>
              <w:instrText>√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)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fldChar w:fldCharType="end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电动搅拌器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显微熔点测定仪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远红外干燥箱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电子天平（0.01g）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恒温水浴锅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气流烘干器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，低温循环泵，循环水真空泵，</w:t>
            </w:r>
            <w:r>
              <w:rPr>
                <w:rFonts w:ascii="楷体" w:eastAsia="楷体" w:hAnsi="楷体" w:cs="宋体"/>
                <w:kern w:val="0"/>
                <w:sz w:val="24"/>
              </w:rPr>
              <w:t>通风橱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气流烘干器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200809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药学院药学实验中心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133101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药物化学室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药学院308室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苯酚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(5g)，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水杨酸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(7g)，</w:t>
            </w:r>
            <w:r>
              <w:rPr>
                <w:rFonts w:ascii="楷体" w:eastAsia="楷体" w:hAnsi="楷体" w:cs="宋体"/>
                <w:kern w:val="0"/>
                <w:sz w:val="24"/>
              </w:rPr>
              <w:t>三氯化磷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(2mL)，</w:t>
            </w:r>
            <w:r>
              <w:rPr>
                <w:rFonts w:ascii="楷体" w:eastAsia="楷体" w:hAnsi="楷体" w:cs="宋体"/>
                <w:kern w:val="0"/>
                <w:sz w:val="24"/>
              </w:rPr>
              <w:t>苯胺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（8mL），</w:t>
            </w:r>
            <w:r>
              <w:rPr>
                <w:rFonts w:ascii="楷体" w:eastAsia="楷体" w:hAnsi="楷体" w:cs="宋体"/>
                <w:kern w:val="0"/>
                <w:sz w:val="24"/>
              </w:rPr>
              <w:t>乙醇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(120mL)，</w:t>
            </w:r>
            <w:r>
              <w:rPr>
                <w:rFonts w:ascii="楷体" w:eastAsia="楷体" w:hAnsi="楷体" w:cs="宋体"/>
                <w:kern w:val="0"/>
                <w:sz w:val="24"/>
              </w:rPr>
              <w:t>活性碳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(15g)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22.0元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药学专业</w:t>
            </w:r>
            <w:r>
              <w:rPr>
                <w:rFonts w:ascii="楷体" w:eastAsia="楷体" w:hAnsi="楷体" w:hint="eastAsia"/>
                <w:sz w:val="24"/>
              </w:rPr>
              <w:t>（化学药物方向）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周小平副教授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杨晓虹教授</w:t>
            </w:r>
          </w:p>
        </w:tc>
      </w:tr>
    </w:tbl>
    <w:p w:rsidR="0010064D" w:rsidRDefault="0010064D" w:rsidP="0010064D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eastAsia="黑体" w:hAnsi="Arial"/>
          <w:b/>
          <w:sz w:val="36"/>
          <w:szCs w:val="36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药物化学</w:t>
      </w:r>
      <w:r>
        <w:rPr>
          <w:rFonts w:ascii="宋体" w:hAnsi="宋体"/>
          <w:b/>
          <w:sz w:val="32"/>
          <w:szCs w:val="32"/>
        </w:rPr>
        <w:fldChar w:fldCharType="begin"/>
      </w:r>
      <w:r>
        <w:rPr>
          <w:rFonts w:ascii="宋体" w:hAnsi="宋体"/>
          <w:b/>
          <w:sz w:val="32"/>
          <w:szCs w:val="32"/>
        </w:rPr>
        <w:instrText xml:space="preserve"> </w:instrText>
      </w:r>
      <w:r>
        <w:rPr>
          <w:rFonts w:ascii="宋体" w:hAnsi="宋体" w:hint="eastAsia"/>
          <w:b/>
          <w:sz w:val="32"/>
          <w:szCs w:val="32"/>
        </w:rPr>
        <w:instrText>= 2 \* ROMAN</w:instrText>
      </w:r>
      <w:r>
        <w:rPr>
          <w:rFonts w:ascii="宋体" w:hAnsi="宋体"/>
          <w:b/>
          <w:sz w:val="32"/>
          <w:szCs w:val="32"/>
        </w:rPr>
        <w:instrText xml:space="preserve"> </w:instrText>
      </w:r>
      <w:r>
        <w:rPr>
          <w:rFonts w:ascii="宋体" w:hAnsi="宋体"/>
          <w:b/>
          <w:sz w:val="32"/>
          <w:szCs w:val="32"/>
        </w:rPr>
        <w:fldChar w:fldCharType="separate"/>
      </w:r>
      <w:r>
        <w:rPr>
          <w:rFonts w:ascii="宋体" w:hAnsi="宋体"/>
          <w:b/>
          <w:sz w:val="32"/>
          <w:szCs w:val="32"/>
        </w:rPr>
        <w:t>II</w:t>
      </w:r>
      <w:r>
        <w:rPr>
          <w:rFonts w:ascii="宋体" w:hAnsi="宋体"/>
          <w:b/>
          <w:sz w:val="32"/>
          <w:szCs w:val="32"/>
        </w:rPr>
        <w:fldChar w:fldCharType="end"/>
      </w:r>
      <w:r>
        <w:rPr>
          <w:rFonts w:ascii="宋体" w:hAnsi="宋体" w:hint="eastAsia"/>
          <w:b/>
          <w:sz w:val="32"/>
          <w:szCs w:val="32"/>
        </w:rPr>
        <w:t>(732012)实验项目卡2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10064D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药物化学</w: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begin"/>
            </w:r>
            <w:r>
              <w:rPr>
                <w:rFonts w:ascii="楷体" w:eastAsia="楷体" w:hAnsi="楷体" w:cs="宋体"/>
                <w:kern w:val="0"/>
                <w:sz w:val="24"/>
              </w:rPr>
              <w:instrText xml:space="preserve"> 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= 2 \* ROMAN</w:instrText>
            </w:r>
            <w:r>
              <w:rPr>
                <w:rFonts w:ascii="楷体" w:eastAsia="楷体" w:hAnsi="楷体" w:cs="宋体"/>
                <w:kern w:val="0"/>
                <w:sz w:val="24"/>
              </w:rPr>
              <w:instrText xml:space="preserve"> </w:instrTex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separate"/>
            </w:r>
            <w:r>
              <w:rPr>
                <w:rFonts w:ascii="楷体" w:eastAsia="楷体" w:hAnsi="楷体" w:cs="宋体"/>
                <w:kern w:val="0"/>
                <w:sz w:val="24"/>
              </w:rPr>
              <w:t>II</w:t>
            </w:r>
            <w:r>
              <w:rPr>
                <w:rFonts w:ascii="楷体" w:eastAsia="楷体" w:hAnsi="楷体" w:cs="宋体"/>
                <w:kern w:val="0"/>
                <w:sz w:val="24"/>
              </w:rPr>
              <w:fldChar w:fldCharType="end"/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732012</w:t>
            </w:r>
          </w:p>
        </w:tc>
      </w:tr>
      <w:tr w:rsidR="0010064D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 w:val="24"/>
              </w:rPr>
              <w:t>盐酸普鲁卡因的制备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73201202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16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综合性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（1） 通过局部麻醉药盐酸普鲁卡因的合成，学习酯化、还原等单元反应。</w:t>
            </w:r>
          </w:p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（2）掌握利用水和二甲苯共沸脱水的原理进行羧酸的酯化操作。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（1）对-硝基苯甲酸</w:t>
            </w:r>
            <w:r>
              <w:rPr>
                <w:rFonts w:ascii="楷体" w:eastAsia="楷体" w:hAnsi="楷体" w:cs="宋体"/>
                <w:kern w:val="0"/>
                <w:sz w:val="24"/>
              </w:rPr>
              <w:t>-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β-二乙胺基乙醇（俗称硝基卡因）的制备</w:t>
            </w:r>
          </w:p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（2）对-氨基苯甲酸</w:t>
            </w:r>
            <w:r>
              <w:rPr>
                <w:rFonts w:ascii="楷体" w:eastAsia="楷体" w:hAnsi="楷体" w:cs="宋体"/>
                <w:kern w:val="0"/>
                <w:sz w:val="24"/>
              </w:rPr>
              <w:t>-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β-二乙胺基乙醇酯的制备</w:t>
            </w:r>
          </w:p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（3）盐酸普鲁卡因的制备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共沸脱水原理进行酯化反应；还原反应原理。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fldChar w:fldCharType="begin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 xml:space="preserve"> eq \o\ac(□,</w:instrText>
            </w:r>
            <w:r>
              <w:rPr>
                <w:rFonts w:ascii="楷体" w:eastAsia="楷体" w:hAnsi="楷体" w:cs="宋体" w:hint="eastAsia"/>
                <w:kern w:val="0"/>
                <w:position w:val="1"/>
                <w:sz w:val="24"/>
              </w:rPr>
              <w:instrText>√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instrText>)</w:instrTex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fldChar w:fldCharType="end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；4.设计性□；5.研究性□。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电动搅拌器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显微熔点测定仪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远红外干燥箱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电子天平（0.01g）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恒温水浴锅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气流烘干器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，低温循环泵，循环水真空泵，</w:t>
            </w:r>
            <w:r>
              <w:rPr>
                <w:rFonts w:ascii="楷体" w:eastAsia="楷体" w:hAnsi="楷体" w:cs="宋体"/>
                <w:kern w:val="0"/>
                <w:sz w:val="24"/>
              </w:rPr>
              <w:t>通风橱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气流烘干器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200809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药学院药学实验中心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133101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药物化学室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药学院308室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对-硝基苯甲酸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(10g)，</w:t>
            </w:r>
            <w:r>
              <w:rPr>
                <w:rFonts w:ascii="楷体" w:eastAsia="楷体" w:hAnsi="楷体" w:cs="宋体"/>
                <w:kern w:val="0"/>
                <w:sz w:val="24"/>
              </w:rPr>
              <w:t>二乙氨基乙醇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(8.2mL)，二甲苯(75mL)，</w:t>
            </w:r>
            <w:r>
              <w:rPr>
                <w:rFonts w:ascii="楷体" w:eastAsia="楷体" w:hAnsi="楷体" w:cs="宋体"/>
                <w:kern w:val="0"/>
                <w:sz w:val="24"/>
              </w:rPr>
              <w:t>盐酸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氢氧化钠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铁粉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(15g)，</w:t>
            </w:r>
            <w:r>
              <w:rPr>
                <w:rFonts w:ascii="楷体" w:eastAsia="楷体" w:hAnsi="楷体" w:cs="宋体"/>
                <w:kern w:val="0"/>
                <w:sz w:val="24"/>
              </w:rPr>
              <w:t>广泛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及精密</w:t>
            </w:r>
            <w:r>
              <w:rPr>
                <w:rFonts w:ascii="楷体" w:eastAsia="楷体" w:hAnsi="楷体" w:cs="宋体"/>
                <w:kern w:val="0"/>
                <w:sz w:val="24"/>
              </w:rPr>
              <w:t>pH试纸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1本，</w:t>
            </w:r>
            <w:r>
              <w:rPr>
                <w:rFonts w:ascii="楷体" w:eastAsia="楷体" w:hAnsi="楷体" w:cs="宋体"/>
                <w:kern w:val="0"/>
                <w:sz w:val="24"/>
              </w:rPr>
              <w:t>活性炭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（15g），</w:t>
            </w:r>
            <w:r>
              <w:rPr>
                <w:rFonts w:ascii="楷体" w:eastAsia="楷体" w:hAnsi="楷体" w:cs="宋体"/>
                <w:kern w:val="0"/>
                <w:sz w:val="24"/>
              </w:rPr>
              <w:t>碳酸钠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（30g），</w:t>
            </w:r>
            <w:r>
              <w:rPr>
                <w:rFonts w:ascii="楷体" w:eastAsia="楷体" w:hAnsi="楷体" w:cs="宋体"/>
                <w:kern w:val="0"/>
                <w:sz w:val="24"/>
              </w:rPr>
              <w:t>保险粉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(5g)，</w:t>
            </w:r>
            <w:r>
              <w:rPr>
                <w:rFonts w:ascii="楷体" w:eastAsia="楷体" w:hAnsi="楷体" w:cs="宋体"/>
                <w:kern w:val="0"/>
                <w:sz w:val="24"/>
              </w:rPr>
              <w:t>95%乙醇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(200mL)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48.00元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药学专业</w:t>
            </w:r>
            <w:r>
              <w:rPr>
                <w:rFonts w:ascii="楷体" w:eastAsia="楷体" w:hAnsi="楷体" w:hint="eastAsia"/>
                <w:sz w:val="24"/>
              </w:rPr>
              <w:t>（化学药物方向）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周小平副教授</w:t>
            </w:r>
          </w:p>
        </w:tc>
      </w:tr>
      <w:tr w:rsidR="0010064D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64D" w:rsidRDefault="0010064D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杨晓虹教授</w:t>
            </w:r>
          </w:p>
        </w:tc>
      </w:tr>
    </w:tbl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64D"/>
    <w:rsid w:val="0010064D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00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0064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2016-02-01T03:07:00Z</dcterms:created>
  <dcterms:modified xsi:type="dcterms:W3CDTF">2016-02-01T03:07:00Z</dcterms:modified>
</cp:coreProperties>
</file>