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8E7" w:rsidRDefault="008A68E7" w:rsidP="008A68E7">
      <w:pPr>
        <w:pStyle w:val="1"/>
        <w:spacing w:before="156" w:after="156" w:line="400" w:lineRule="exact"/>
        <w:jc w:val="center"/>
        <w:rPr>
          <w:rFonts w:ascii="楷体_GB2312" w:eastAsia="楷体_GB2312" w:hAnsi="华文中宋" w:hint="eastAsia"/>
          <w:sz w:val="32"/>
          <w:szCs w:val="32"/>
        </w:rPr>
      </w:pPr>
      <w:r>
        <w:rPr>
          <w:rFonts w:ascii="楷体_GB2312" w:eastAsia="楷体_GB2312" w:hAnsi="华文中宋" w:hint="eastAsia"/>
          <w:sz w:val="32"/>
          <w:szCs w:val="32"/>
        </w:rPr>
        <w:t>药剂学</w:t>
      </w:r>
      <w:r>
        <w:rPr>
          <w:rFonts w:ascii="楷体_GB2312" w:eastAsia="楷体_GB2312" w:hAnsi="华文中宋"/>
          <w:sz w:val="32"/>
          <w:szCs w:val="32"/>
        </w:rPr>
        <w:fldChar w:fldCharType="begin"/>
      </w:r>
      <w:r>
        <w:rPr>
          <w:rFonts w:ascii="楷体_GB2312" w:eastAsia="楷体_GB2312" w:hAnsi="华文中宋"/>
          <w:sz w:val="32"/>
          <w:szCs w:val="32"/>
        </w:rPr>
        <w:instrText xml:space="preserve"> </w:instrText>
      </w:r>
      <w:r>
        <w:rPr>
          <w:rFonts w:ascii="楷体_GB2312" w:eastAsia="楷体_GB2312" w:hAnsi="华文中宋" w:hint="eastAsia"/>
          <w:sz w:val="32"/>
          <w:szCs w:val="32"/>
        </w:rPr>
        <w:instrText>= 2 \* ROMAN</w:instrText>
      </w:r>
      <w:r>
        <w:rPr>
          <w:rFonts w:ascii="楷体_GB2312" w:eastAsia="楷体_GB2312" w:hAnsi="华文中宋"/>
          <w:sz w:val="32"/>
          <w:szCs w:val="32"/>
        </w:rPr>
        <w:instrText xml:space="preserve"> </w:instrText>
      </w:r>
      <w:r>
        <w:rPr>
          <w:rFonts w:ascii="楷体_GB2312" w:eastAsia="楷体_GB2312" w:hAnsi="华文中宋"/>
          <w:sz w:val="32"/>
          <w:szCs w:val="32"/>
        </w:rPr>
        <w:fldChar w:fldCharType="separate"/>
      </w:r>
      <w:r>
        <w:rPr>
          <w:rFonts w:ascii="楷体_GB2312" w:eastAsia="楷体_GB2312" w:hAnsi="华文中宋"/>
          <w:sz w:val="32"/>
          <w:szCs w:val="32"/>
          <w:lang w:val="en-US" w:eastAsia="zh-CN"/>
        </w:rPr>
        <w:t>II</w:t>
      </w:r>
      <w:r>
        <w:rPr>
          <w:rFonts w:ascii="楷体_GB2312" w:eastAsia="楷体_GB2312" w:hAnsi="华文中宋"/>
          <w:sz w:val="32"/>
          <w:szCs w:val="32"/>
        </w:rPr>
        <w:fldChar w:fldCharType="end"/>
      </w:r>
      <w:r>
        <w:rPr>
          <w:rFonts w:ascii="楷体_GB2312" w:eastAsia="楷体_GB2312" w:hAnsi="华文中宋" w:hint="eastAsia"/>
          <w:sz w:val="32"/>
          <w:szCs w:val="32"/>
        </w:rPr>
        <w:t>（</w:t>
      </w:r>
      <w:r>
        <w:rPr>
          <w:rFonts w:ascii="楷体_GB2312" w:eastAsia="楷体_GB2312" w:hAnsi="华文中宋"/>
          <w:sz w:val="32"/>
          <w:szCs w:val="32"/>
        </w:rPr>
        <w:t>73</w:t>
      </w:r>
      <w:r>
        <w:rPr>
          <w:rFonts w:ascii="楷体_GB2312" w:eastAsia="楷体_GB2312" w:hAnsi="华文中宋" w:hint="eastAsia"/>
          <w:sz w:val="32"/>
          <w:szCs w:val="32"/>
        </w:rPr>
        <w:t>2</w:t>
      </w:r>
      <w:r>
        <w:rPr>
          <w:rFonts w:ascii="楷体_GB2312" w:eastAsia="楷体_GB2312" w:hAnsi="华文中宋"/>
          <w:sz w:val="32"/>
          <w:szCs w:val="32"/>
        </w:rPr>
        <w:t>009</w:t>
      </w:r>
      <w:r>
        <w:rPr>
          <w:rFonts w:ascii="楷体_GB2312" w:eastAsia="楷体_GB2312" w:hAnsi="华文中宋" w:hint="eastAsia"/>
          <w:sz w:val="32"/>
          <w:szCs w:val="32"/>
        </w:rPr>
        <w:t>）实验教学大纲</w:t>
      </w:r>
    </w:p>
    <w:p w:rsidR="008A68E7" w:rsidRDefault="008A68E7" w:rsidP="008A68E7">
      <w:pPr>
        <w:rPr>
          <w:rFonts w:ascii="楷体_GB2312" w:eastAsia="楷体_GB2312" w:hint="eastAsia"/>
        </w:rPr>
      </w:pP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01．教学单位名称：</w:t>
      </w:r>
      <w:r>
        <w:rPr>
          <w:rFonts w:ascii="楷体_GB2312" w:eastAsia="楷体_GB2312" w:hAnsi="华文中宋" w:hint="eastAsia"/>
          <w:sz w:val="24"/>
        </w:rPr>
        <w:t>药学院</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02．实验中心名称：</w:t>
      </w:r>
      <w:r>
        <w:rPr>
          <w:rFonts w:ascii="楷体_GB2312" w:eastAsia="楷体_GB2312" w:hAnsi="华文中宋" w:hint="eastAsia"/>
          <w:sz w:val="24"/>
        </w:rPr>
        <w:t>药学实验中心</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03．课程名称：</w:t>
      </w:r>
      <w:r>
        <w:rPr>
          <w:rFonts w:ascii="楷体_GB2312" w:eastAsia="楷体_GB2312" w:hAnsi="华文中宋" w:hint="eastAsia"/>
          <w:sz w:val="24"/>
        </w:rPr>
        <w:t>药剂学</w:t>
      </w:r>
      <w:r>
        <w:rPr>
          <w:rFonts w:ascii="宋体" w:hAnsi="宋体"/>
          <w:sz w:val="24"/>
        </w:rPr>
        <w:fldChar w:fldCharType="begin"/>
      </w:r>
      <w:r>
        <w:rPr>
          <w:rFonts w:ascii="宋体" w:hAnsi="宋体"/>
          <w:sz w:val="24"/>
        </w:rPr>
        <w:instrText xml:space="preserve"> </w:instrText>
      </w:r>
      <w:r>
        <w:rPr>
          <w:rFonts w:ascii="宋体" w:hAnsi="宋体" w:hint="eastAsia"/>
          <w:sz w:val="24"/>
        </w:rPr>
        <w:instrText>= 2 \* ROMAN</w:instrText>
      </w:r>
      <w:r>
        <w:rPr>
          <w:rFonts w:ascii="宋体" w:hAnsi="宋体"/>
          <w:sz w:val="24"/>
        </w:rPr>
        <w:instrText xml:space="preserve"> </w:instrText>
      </w:r>
      <w:r>
        <w:rPr>
          <w:rFonts w:ascii="宋体" w:hAnsi="宋体"/>
          <w:sz w:val="24"/>
        </w:rPr>
        <w:fldChar w:fldCharType="separate"/>
      </w:r>
      <w:r>
        <w:rPr>
          <w:rFonts w:ascii="宋体" w:hAnsi="宋体"/>
          <w:sz w:val="24"/>
          <w:lang w:val="en-US" w:eastAsia="zh-CN"/>
        </w:rPr>
        <w:t>II</w:t>
      </w:r>
      <w:r>
        <w:rPr>
          <w:rFonts w:ascii="宋体" w:hAnsi="宋体"/>
          <w:sz w:val="24"/>
        </w:rPr>
        <w:fldChar w:fldCharType="end"/>
      </w:r>
    </w:p>
    <w:p w:rsidR="008A68E7" w:rsidRDefault="008A68E7" w:rsidP="008A68E7">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04．课程代码：</w:t>
      </w:r>
      <w:r>
        <w:rPr>
          <w:rFonts w:ascii="楷体_GB2312" w:eastAsia="楷体_GB2312" w:hAnsi="华文中宋"/>
          <w:sz w:val="24"/>
        </w:rPr>
        <w:t xml:space="preserve"> 73</w:t>
      </w:r>
      <w:r>
        <w:rPr>
          <w:rFonts w:ascii="楷体_GB2312" w:eastAsia="楷体_GB2312" w:hAnsi="华文中宋" w:hint="eastAsia"/>
          <w:sz w:val="24"/>
        </w:rPr>
        <w:t>2</w:t>
      </w:r>
      <w:r>
        <w:rPr>
          <w:rFonts w:ascii="楷体_GB2312" w:eastAsia="楷体_GB2312" w:hAnsi="华文中宋"/>
          <w:sz w:val="24"/>
        </w:rPr>
        <w:t>009</w:t>
      </w:r>
    </w:p>
    <w:p w:rsidR="008A68E7" w:rsidRDefault="008A68E7" w:rsidP="008A68E7">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05．课程类别：</w:t>
      </w:r>
      <w:r>
        <w:rPr>
          <w:rFonts w:ascii="楷体_GB2312" w:eastAsia="楷体_GB2312" w:hAnsi="华文中宋" w:hint="eastAsia"/>
          <w:sz w:val="24"/>
        </w:rPr>
        <w:t>专业课</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06．课程性质：</w:t>
      </w:r>
      <w:r>
        <w:rPr>
          <w:rFonts w:ascii="楷体_GB2312" w:eastAsia="楷体_GB2312" w:hAnsi="华文中宋" w:hint="eastAsia"/>
          <w:sz w:val="24"/>
        </w:rPr>
        <w:t>必修</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07．课程学时：</w:t>
      </w:r>
      <w:r>
        <w:rPr>
          <w:rFonts w:ascii="楷体_GB2312" w:eastAsia="楷体_GB2312" w:hAnsi="华文中宋" w:hint="eastAsia"/>
          <w:sz w:val="24"/>
        </w:rPr>
        <w:t>44学时，其中含实验22学时</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08．课程学分：</w:t>
      </w:r>
      <w:r>
        <w:rPr>
          <w:rFonts w:ascii="楷体_GB2312" w:eastAsia="楷体_GB2312" w:hAnsi="华文中宋" w:hint="eastAsia"/>
          <w:sz w:val="24"/>
        </w:rPr>
        <w:t>2</w:t>
      </w:r>
    </w:p>
    <w:p w:rsidR="008A68E7" w:rsidRDefault="008A68E7" w:rsidP="008A68E7">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09．面向专业：</w:t>
      </w:r>
      <w:r>
        <w:rPr>
          <w:rFonts w:ascii="楷体_GB2312" w:eastAsia="楷体_GB2312" w:hAnsi="华文中宋" w:hint="eastAsia"/>
          <w:sz w:val="24"/>
        </w:rPr>
        <w:t>药学专业（药学方向）、药学专业（中药与天然药物方向）</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10．实验课程的教学任务、要求和教学目的</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药剂学Ⅱ主要是研究粉体学、流变学、微粒分散体系等基本理论及药物新剂型与新技术的一门综合学科，是药学专业本科生必修的专业基础课程。内容主要包括粉体学、流变学、微粒分散体系、聚合物胶束、纳米乳与亚微乳、微球与微囊、纳米粒与亚微粒、脂质体与类脂囊泡、缓控迟释制剂、靶向制剂、经皮吸收制剂及生物技术药物制剂。本课程实验课主要是利用制剂新技术，制备新型药物制剂，并能运用有关知识正确评价药物制剂质量、设计合理的剂型、处方及生产工艺。并对其进行评价。</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要求:</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掌握包合技术、固体分散技术、微囊化技术以及缓释片的制备技术，对</w:t>
      </w:r>
    </w:p>
    <w:p w:rsidR="008A68E7" w:rsidRDefault="008A68E7" w:rsidP="008A68E7">
      <w:pPr>
        <w:adjustRightInd w:val="0"/>
        <w:snapToGrid w:val="0"/>
        <w:spacing w:line="320" w:lineRule="exact"/>
        <w:rPr>
          <w:rFonts w:ascii="楷体_GB2312" w:eastAsia="楷体_GB2312" w:hAnsi="华文中宋" w:hint="eastAsia"/>
          <w:sz w:val="24"/>
        </w:rPr>
      </w:pPr>
      <w:r>
        <w:rPr>
          <w:rFonts w:ascii="楷体_GB2312" w:eastAsia="楷体_GB2312" w:hAnsi="华文中宋" w:hint="eastAsia"/>
          <w:sz w:val="24"/>
        </w:rPr>
        <w:t>药剂学的前沿性技术有全面的了解。</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2．熟悉包合技术、固体分散技术、微囊化技术以及缓释片的制备技术的基本原理及质量评价的方法。</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3．培养和提高对实验中遇到的问题及实验结果的分析和解决问题的能力，是学生能够根据药物的理化性质，利用制剂新技术，制备适宜的新制剂，改善其理化性质的不足，提高药物的临床疗效。</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教学目的：</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通过本课程的学习，使学生系统地掌握常用制剂新技术与新剂型的概念、基本理论及制备方法，培养学生分析及解决问题的能力，为药物研发、生产等打下坚实的基础。</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11．学生应掌握的实验技术及实验能力</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（1）掌握包合物、微囊、固体分散体、缓释片的制备技术及操作要点。</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（2）掌握溶出仪的正确使用及累积释放（溶出）的计算方法。</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（3）熟悉包合物、微囊的质量评价及评价方法。</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（4）熟悉包合物的鉴别。</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12．开设实验项目</w:t>
      </w:r>
    </w:p>
    <w:p w:rsidR="008A68E7" w:rsidRDefault="008A68E7" w:rsidP="008A68E7">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 xml:space="preserve"> 实验1</w:t>
      </w:r>
      <w:r>
        <w:rPr>
          <w:rFonts w:ascii="楷体_GB2312" w:eastAsia="楷体_GB2312" w:hAnsi="华文中宋" w:hint="eastAsia"/>
          <w:sz w:val="24"/>
        </w:rPr>
        <w:t xml:space="preserve"> β-环糊精包合物的制备</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 xml:space="preserve"> 简述实验原理及操作，启发实验中的注意事项。采用饱和水溶液法制备薄荷油包合物，冷藏过滤,制得包合物,称重,测定收率，并利用 TLC法进行包合物的初步鉴别。</w:t>
      </w:r>
    </w:p>
    <w:p w:rsidR="008A68E7" w:rsidRDefault="008A68E7" w:rsidP="008A68E7">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 xml:space="preserve">实验2 </w:t>
      </w:r>
      <w:r>
        <w:rPr>
          <w:rFonts w:ascii="楷体_GB2312" w:eastAsia="楷体_GB2312" w:hAnsi="华文中宋" w:hint="eastAsia"/>
          <w:sz w:val="24"/>
        </w:rPr>
        <w:t>微型胶囊的制备</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lastRenderedPageBreak/>
        <w:t>以阿拉伯胶和明胶为囊材，液体石蜡为模型药物，以阿拉伯胶为乳化剂，以组织捣碎机制备液体石蜡初乳，再将其搅拌下与明胶溶液混合，调pH值而使阿拉伯胶和明胶分别带相反电荷凝聚成囊，将其稀释后加入交联固化剂，再次调节pH而固化成囊。通过观察乳剂、软滑囊及固化囊的形态及粒径，验证制得微囊。</w:t>
      </w:r>
    </w:p>
    <w:p w:rsidR="008A68E7" w:rsidRDefault="008A68E7" w:rsidP="008A68E7">
      <w:pPr>
        <w:adjustRightInd w:val="0"/>
        <w:snapToGrid w:val="0"/>
        <w:spacing w:line="320" w:lineRule="exact"/>
        <w:ind w:firstLineChars="200" w:firstLine="482"/>
        <w:rPr>
          <w:rFonts w:ascii="楷体_GB2312" w:eastAsia="楷体_GB2312" w:hAnsi="宋体" w:cs="宋体" w:hint="eastAsia"/>
          <w:kern w:val="0"/>
          <w:sz w:val="24"/>
        </w:rPr>
      </w:pPr>
      <w:r>
        <w:rPr>
          <w:rFonts w:ascii="楷体_GB2312" w:eastAsia="楷体_GB2312" w:hAnsi="华文中宋" w:hint="eastAsia"/>
          <w:b/>
          <w:sz w:val="24"/>
        </w:rPr>
        <w:t>实验3</w:t>
      </w:r>
      <w:r>
        <w:rPr>
          <w:rFonts w:ascii="楷体_GB2312" w:eastAsia="楷体_GB2312" w:hAnsi="华文中宋" w:hint="eastAsia"/>
          <w:sz w:val="24"/>
        </w:rPr>
        <w:t xml:space="preserve"> </w:t>
      </w:r>
      <w:r>
        <w:rPr>
          <w:rFonts w:ascii="楷体_GB2312" w:eastAsia="楷体_GB2312" w:hAnsi="宋体" w:cs="宋体" w:hint="eastAsia"/>
          <w:kern w:val="0"/>
          <w:sz w:val="24"/>
        </w:rPr>
        <w:t>固体分散体-共沉淀物的制备</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宋体" w:cs="宋体" w:hint="eastAsia"/>
          <w:kern w:val="0"/>
          <w:sz w:val="24"/>
        </w:rPr>
        <w:t>取磺胺噻唑加适量乙醇溶解，挥去乙醇，制得磺胺噻唑-PVP共沉淀物，同时等量递增混合法制备磺胺噻唑-PVP物理混合物，显微镜下观察磺胺噻唑、磺胺噻唑-PVP物理混合物、磺胺噻唑-PVP共沉淀物的形态，并采用溶出仪进行体外溶出度对比，计算各样品的溶出速率，并进行评价。</w:t>
      </w:r>
    </w:p>
    <w:p w:rsidR="008A68E7" w:rsidRDefault="008A68E7" w:rsidP="008A68E7">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 xml:space="preserve">实验4  </w:t>
      </w:r>
      <w:r>
        <w:rPr>
          <w:rFonts w:ascii="楷体_GB2312" w:eastAsia="楷体_GB2312" w:hAnsi="华文中宋" w:hint="eastAsia"/>
          <w:sz w:val="24"/>
        </w:rPr>
        <w:t>缓释片的制备</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以茶碱为模型药物，将药物和辅料分别80目药筛，分别利用湿法制粒压片法制备茶碱普通片、溶蚀性茶碱缓释片以及胃不溶性茶碱缓释骨架片，</w:t>
      </w:r>
      <w:r>
        <w:rPr>
          <w:rFonts w:ascii="楷体_GB2312" w:eastAsia="楷体_GB2312" w:hAnsi="宋体" w:cs="宋体" w:hint="eastAsia"/>
          <w:kern w:val="0"/>
          <w:sz w:val="24"/>
        </w:rPr>
        <w:t>并采用溶出仪进行体外溶出度对比，计算各样品的个取样时间药物的累积释放量，以累积释放百分率对时间作图，绘制释放曲线，并进行评价。</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p>
    <w:p w:rsidR="008A68E7" w:rsidRDefault="008A68E7" w:rsidP="008A68E7">
      <w:pPr>
        <w:adjustRightInd w:val="0"/>
        <w:snapToGrid w:val="0"/>
        <w:spacing w:line="320" w:lineRule="exact"/>
        <w:jc w:val="center"/>
        <w:rPr>
          <w:rFonts w:ascii="楷体_GB2312" w:eastAsia="楷体_GB2312" w:hAnsi="华文中宋" w:hint="eastAsia"/>
          <w:b/>
          <w:sz w:val="24"/>
        </w:rPr>
      </w:pPr>
      <w:r>
        <w:rPr>
          <w:rFonts w:ascii="楷体_GB2312" w:eastAsia="楷体_GB2312" w:hAnsi="华文中宋" w:hint="eastAsia"/>
          <w:b/>
          <w:sz w:val="24"/>
        </w:rPr>
        <w:t>开设实验项目一览表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5"/>
        <w:gridCol w:w="2220"/>
        <w:gridCol w:w="1080"/>
        <w:gridCol w:w="1080"/>
        <w:gridCol w:w="1080"/>
        <w:gridCol w:w="1080"/>
        <w:gridCol w:w="1080"/>
      </w:tblGrid>
      <w:tr w:rsidR="008A68E7" w:rsidTr="0063328B">
        <w:trPr>
          <w:trHeight w:val="285"/>
        </w:trPr>
        <w:tc>
          <w:tcPr>
            <w:tcW w:w="1565" w:type="dxa"/>
            <w:vAlign w:val="center"/>
          </w:tcPr>
          <w:p w:rsidR="008A68E7" w:rsidRDefault="008A68E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实验项目编号</w:t>
            </w:r>
          </w:p>
        </w:tc>
        <w:tc>
          <w:tcPr>
            <w:tcW w:w="2220" w:type="dxa"/>
            <w:vAlign w:val="center"/>
          </w:tcPr>
          <w:p w:rsidR="008A68E7" w:rsidRDefault="008A68E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实验项目名称</w:t>
            </w:r>
          </w:p>
        </w:tc>
        <w:tc>
          <w:tcPr>
            <w:tcW w:w="1080" w:type="dxa"/>
            <w:vAlign w:val="center"/>
          </w:tcPr>
          <w:p w:rsidR="008A68E7" w:rsidRDefault="008A68E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实验类型</w:t>
            </w:r>
          </w:p>
        </w:tc>
        <w:tc>
          <w:tcPr>
            <w:tcW w:w="1080" w:type="dxa"/>
            <w:vAlign w:val="center"/>
          </w:tcPr>
          <w:p w:rsidR="008A68E7" w:rsidRDefault="008A68E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实验性质</w:t>
            </w:r>
          </w:p>
        </w:tc>
        <w:tc>
          <w:tcPr>
            <w:tcW w:w="1080" w:type="dxa"/>
            <w:vAlign w:val="center"/>
          </w:tcPr>
          <w:p w:rsidR="008A68E7" w:rsidRDefault="008A68E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实验学时</w:t>
            </w:r>
          </w:p>
        </w:tc>
        <w:tc>
          <w:tcPr>
            <w:tcW w:w="1080" w:type="dxa"/>
            <w:vAlign w:val="center"/>
          </w:tcPr>
          <w:p w:rsidR="008A68E7" w:rsidRDefault="008A68E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每组人数</w:t>
            </w:r>
          </w:p>
        </w:tc>
        <w:tc>
          <w:tcPr>
            <w:tcW w:w="1080" w:type="dxa"/>
          </w:tcPr>
          <w:p w:rsidR="008A68E7" w:rsidRDefault="008A68E7"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首次开出年月</w:t>
            </w:r>
          </w:p>
        </w:tc>
      </w:tr>
      <w:tr w:rsidR="008A68E7" w:rsidTr="0063328B">
        <w:trPr>
          <w:trHeight w:val="285"/>
        </w:trPr>
        <w:tc>
          <w:tcPr>
            <w:tcW w:w="1565"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73200901</w:t>
            </w:r>
          </w:p>
        </w:tc>
        <w:tc>
          <w:tcPr>
            <w:tcW w:w="2220" w:type="dxa"/>
            <w:vAlign w:val="center"/>
          </w:tcPr>
          <w:p w:rsidR="008A68E7" w:rsidRDefault="008A68E7" w:rsidP="0063328B">
            <w:pPr>
              <w:widowControl/>
              <w:tabs>
                <w:tab w:val="left" w:pos="2118"/>
              </w:tabs>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β-环糊精包合物的制备</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1080" w:type="dxa"/>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200103</w:t>
            </w:r>
          </w:p>
        </w:tc>
      </w:tr>
      <w:tr w:rsidR="008A68E7" w:rsidTr="0063328B">
        <w:trPr>
          <w:trHeight w:val="285"/>
        </w:trPr>
        <w:tc>
          <w:tcPr>
            <w:tcW w:w="1565"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73200902</w:t>
            </w:r>
          </w:p>
        </w:tc>
        <w:tc>
          <w:tcPr>
            <w:tcW w:w="222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微型胶囊的制备</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验证性</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1080" w:type="dxa"/>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200103</w:t>
            </w:r>
          </w:p>
        </w:tc>
      </w:tr>
      <w:tr w:rsidR="008A68E7" w:rsidTr="0063328B">
        <w:trPr>
          <w:trHeight w:val="285"/>
        </w:trPr>
        <w:tc>
          <w:tcPr>
            <w:tcW w:w="1565"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73200903</w:t>
            </w:r>
          </w:p>
        </w:tc>
        <w:tc>
          <w:tcPr>
            <w:tcW w:w="222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固体分散体-共沉淀物的制备</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6</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1080" w:type="dxa"/>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200103</w:t>
            </w:r>
          </w:p>
        </w:tc>
      </w:tr>
      <w:tr w:rsidR="008A68E7" w:rsidTr="0063328B">
        <w:trPr>
          <w:trHeight w:val="285"/>
        </w:trPr>
        <w:tc>
          <w:tcPr>
            <w:tcW w:w="1565"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73200904</w:t>
            </w:r>
          </w:p>
        </w:tc>
        <w:tc>
          <w:tcPr>
            <w:tcW w:w="222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缓释片的制备</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1080" w:type="dxa"/>
            <w:vAlign w:val="center"/>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1080" w:type="dxa"/>
          </w:tcPr>
          <w:p w:rsidR="008A68E7" w:rsidRDefault="008A68E7"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200103</w:t>
            </w:r>
          </w:p>
        </w:tc>
      </w:tr>
    </w:tbl>
    <w:p w:rsidR="008A68E7" w:rsidRDefault="008A68E7" w:rsidP="008A68E7">
      <w:pPr>
        <w:adjustRightInd w:val="0"/>
        <w:snapToGrid w:val="0"/>
        <w:spacing w:line="320" w:lineRule="exact"/>
        <w:rPr>
          <w:rFonts w:ascii="楷体_GB2312" w:eastAsia="楷体_GB2312" w:hAnsi="华文中宋" w:hint="eastAsia"/>
          <w:b/>
          <w:sz w:val="24"/>
        </w:rPr>
      </w:pP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13．实验教材或指导书或主要参考资料</w:t>
      </w:r>
    </w:p>
    <w:p w:rsidR="008A68E7" w:rsidRDefault="008A68E7" w:rsidP="008A68E7">
      <w:pPr>
        <w:adjustRightInd w:val="0"/>
        <w:snapToGrid w:val="0"/>
        <w:spacing w:line="320" w:lineRule="exact"/>
        <w:ind w:firstLine="360"/>
        <w:rPr>
          <w:rFonts w:ascii="楷体_GB2312" w:eastAsia="楷体_GB2312" w:hAnsi="华文中宋" w:hint="eastAsia"/>
          <w:sz w:val="24"/>
        </w:rPr>
      </w:pPr>
      <w:r>
        <w:rPr>
          <w:rFonts w:ascii="楷体_GB2312" w:eastAsia="楷体_GB2312" w:hAnsi="华文中宋" w:hint="eastAsia"/>
          <w:sz w:val="24"/>
        </w:rPr>
        <w:t>（1）杨锦竹，郝秀华主编：药剂学实验讲义，自编，2008年</w:t>
      </w:r>
    </w:p>
    <w:p w:rsidR="008A68E7" w:rsidRDefault="008A68E7" w:rsidP="008A68E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8A68E7" w:rsidRDefault="008A68E7" w:rsidP="008A68E7">
      <w:pPr>
        <w:adjustRightInd w:val="0"/>
        <w:snapToGrid w:val="0"/>
        <w:spacing w:line="320" w:lineRule="exact"/>
        <w:ind w:firstLine="480"/>
        <w:rPr>
          <w:rFonts w:ascii="楷体_GB2312" w:eastAsia="楷体_GB2312" w:hAnsi="华文中宋" w:hint="eastAsia"/>
          <w:sz w:val="24"/>
        </w:rPr>
      </w:pPr>
      <w:r>
        <w:rPr>
          <w:rFonts w:ascii="楷体_GB2312" w:eastAsia="楷体_GB2312" w:hAnsi="华文中宋" w:hint="eastAsia"/>
          <w:sz w:val="24"/>
        </w:rPr>
        <w:t>实验课成绩占药剂学</w:t>
      </w:r>
      <w:r>
        <w:rPr>
          <w:rFonts w:ascii="楷体_GB2312" w:eastAsia="楷体_GB2312" w:hAnsi="宋体" w:hint="eastAsia"/>
          <w:sz w:val="24"/>
        </w:rPr>
        <w:fldChar w:fldCharType="begin"/>
      </w:r>
      <w:r>
        <w:rPr>
          <w:rFonts w:ascii="楷体_GB2312" w:eastAsia="楷体_GB2312" w:hAnsi="宋体" w:hint="eastAsia"/>
          <w:sz w:val="24"/>
        </w:rPr>
        <w:instrText xml:space="preserve"> = 2 \* ROMAN </w:instrText>
      </w:r>
      <w:r>
        <w:rPr>
          <w:rFonts w:ascii="楷体_GB2312" w:eastAsia="楷体_GB2312" w:hAnsi="宋体" w:hint="eastAsia"/>
          <w:sz w:val="24"/>
        </w:rPr>
        <w:fldChar w:fldCharType="separate"/>
      </w:r>
      <w:r>
        <w:rPr>
          <w:rFonts w:ascii="楷体_GB2312" w:eastAsia="楷体_GB2312" w:hAnsi="宋体" w:hint="eastAsia"/>
          <w:sz w:val="24"/>
          <w:lang w:val="en-US" w:eastAsia="zh-CN"/>
        </w:rPr>
        <w:t>II</w:t>
      </w:r>
      <w:r>
        <w:rPr>
          <w:rFonts w:ascii="楷体_GB2312" w:eastAsia="楷体_GB2312" w:hAnsi="宋体" w:hint="eastAsia"/>
          <w:sz w:val="24"/>
        </w:rPr>
        <w:fldChar w:fldCharType="end"/>
      </w:r>
      <w:r>
        <w:rPr>
          <w:rFonts w:ascii="楷体_GB2312" w:eastAsia="楷体_GB2312" w:hAnsi="宋体" w:hint="eastAsia"/>
          <w:sz w:val="24"/>
        </w:rPr>
        <w:t>总成绩的30%，其中实验成绩包括</w:t>
      </w:r>
      <w:r>
        <w:rPr>
          <w:rFonts w:ascii="楷体_GB2312" w:eastAsia="楷体_GB2312" w:hAnsi="华文中宋" w:hint="eastAsia"/>
          <w:sz w:val="24"/>
        </w:rPr>
        <w:t>实验报告、实验态度、实验操作三部分。</w:t>
      </w:r>
    </w:p>
    <w:p w:rsidR="008A68E7" w:rsidRDefault="008A68E7" w:rsidP="008A68E7">
      <w:pPr>
        <w:adjustRightInd w:val="0"/>
        <w:snapToGrid w:val="0"/>
        <w:spacing w:line="320" w:lineRule="exact"/>
        <w:rPr>
          <w:rFonts w:ascii="楷体_GB2312" w:eastAsia="楷体_GB2312" w:hAnsi="宋体" w:hint="eastAsia"/>
          <w:b/>
          <w:sz w:val="24"/>
        </w:rPr>
      </w:pPr>
      <w:r>
        <w:rPr>
          <w:rFonts w:ascii="楷体_GB2312" w:eastAsia="楷体_GB2312" w:hAnsi="宋体" w:hint="eastAsia"/>
          <w:b/>
          <w:sz w:val="24"/>
        </w:rPr>
        <w:t xml:space="preserve">    15．执笔人  </w:t>
      </w:r>
    </w:p>
    <w:p w:rsidR="008A68E7" w:rsidRDefault="008A68E7" w:rsidP="008A68E7">
      <w:pPr>
        <w:adjustRightInd w:val="0"/>
        <w:snapToGrid w:val="0"/>
        <w:spacing w:line="320" w:lineRule="exact"/>
        <w:ind w:firstLine="480"/>
        <w:rPr>
          <w:rFonts w:ascii="楷体_GB2312" w:eastAsia="楷体_GB2312" w:hAnsi="宋体" w:hint="eastAsia"/>
          <w:b/>
          <w:sz w:val="24"/>
        </w:rPr>
      </w:pPr>
      <w:r>
        <w:rPr>
          <w:rFonts w:ascii="楷体_GB2312" w:eastAsia="楷体_GB2312" w:hAnsi="华文中宋" w:hint="eastAsia"/>
          <w:sz w:val="24"/>
        </w:rPr>
        <w:t>管清香副教授</w:t>
      </w:r>
    </w:p>
    <w:p w:rsidR="008A68E7" w:rsidRDefault="008A68E7" w:rsidP="008A68E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 xml:space="preserve">16．制定日期  </w:t>
      </w:r>
    </w:p>
    <w:p w:rsidR="008A68E7" w:rsidRDefault="008A68E7" w:rsidP="008A68E7">
      <w:pPr>
        <w:adjustRightInd w:val="0"/>
        <w:snapToGrid w:val="0"/>
        <w:spacing w:line="320" w:lineRule="exact"/>
        <w:ind w:firstLine="480"/>
        <w:rPr>
          <w:rFonts w:ascii="楷体_GB2312" w:eastAsia="楷体_GB2312" w:hAnsi="宋体" w:hint="eastAsia"/>
          <w:b/>
          <w:sz w:val="24"/>
        </w:rPr>
      </w:pPr>
      <w:r>
        <w:rPr>
          <w:rFonts w:ascii="楷体_GB2312" w:eastAsia="楷体_GB2312" w:hAnsi="华文中宋" w:hint="eastAsia"/>
          <w:sz w:val="24"/>
        </w:rPr>
        <w:t>20131030</w:t>
      </w:r>
    </w:p>
    <w:p w:rsidR="008A68E7" w:rsidRDefault="008A68E7" w:rsidP="008A68E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17．审核人</w:t>
      </w:r>
    </w:p>
    <w:p w:rsidR="008A68E7" w:rsidRDefault="008A68E7" w:rsidP="008A68E7">
      <w:pPr>
        <w:adjustRightInd w:val="0"/>
        <w:snapToGrid w:val="0"/>
        <w:spacing w:line="320" w:lineRule="exact"/>
        <w:ind w:firstLine="480"/>
        <w:rPr>
          <w:rFonts w:ascii="楷体_GB2312" w:eastAsia="楷体_GB2312" w:hAnsi="华文中宋" w:hint="eastAsia"/>
          <w:sz w:val="24"/>
        </w:rPr>
      </w:pPr>
      <w:r>
        <w:rPr>
          <w:rFonts w:ascii="楷体_GB2312" w:eastAsia="楷体_GB2312" w:hAnsi="华文中宋" w:hint="eastAsia"/>
          <w:sz w:val="24"/>
        </w:rPr>
        <w:t>金向群教授</w:t>
      </w:r>
    </w:p>
    <w:p w:rsidR="008A68E7" w:rsidRDefault="008A68E7" w:rsidP="008A68E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 xml:space="preserve">18．审核日期 </w:t>
      </w:r>
    </w:p>
    <w:p w:rsidR="008A68E7" w:rsidRDefault="008A68E7" w:rsidP="008A68E7">
      <w:pPr>
        <w:adjustRightInd w:val="0"/>
        <w:snapToGrid w:val="0"/>
        <w:spacing w:line="320" w:lineRule="exact"/>
        <w:rPr>
          <w:rFonts w:ascii="楷体_GB2312" w:eastAsia="楷体_GB2312" w:hAnsi="华文中宋" w:hint="eastAsia"/>
          <w:sz w:val="24"/>
        </w:rPr>
      </w:pPr>
      <w:r>
        <w:rPr>
          <w:rFonts w:ascii="楷体_GB2312" w:eastAsia="楷体_GB2312" w:hAnsi="华文中宋" w:hint="eastAsia"/>
          <w:sz w:val="24"/>
        </w:rPr>
        <w:t xml:space="preserve">    20131029</w:t>
      </w:r>
    </w:p>
    <w:p w:rsidR="008A68E7" w:rsidRDefault="008A68E7" w:rsidP="008A68E7">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19．学院审定程序说明</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8A68E7" w:rsidRDefault="008A68E7" w:rsidP="008A68E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20．学院审定日期</w:t>
      </w:r>
    </w:p>
    <w:p w:rsidR="008A68E7" w:rsidRDefault="008A68E7" w:rsidP="008A68E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8A68E7" w:rsidRDefault="008A68E7" w:rsidP="008A68E7">
      <w:pPr>
        <w:autoSpaceDE w:val="0"/>
        <w:autoSpaceDN w:val="0"/>
        <w:adjustRightInd w:val="0"/>
        <w:snapToGrid w:val="0"/>
        <w:jc w:val="center"/>
        <w:rPr>
          <w:rFonts w:ascii="宋体" w:hAnsi="宋体" w:hint="eastAsia"/>
          <w:b/>
          <w:sz w:val="32"/>
          <w:szCs w:val="32"/>
        </w:rPr>
      </w:pPr>
      <w:r>
        <w:rPr>
          <w:rFonts w:ascii="宋体" w:hAnsi="宋体" w:hint="eastAsia"/>
          <w:b/>
          <w:sz w:val="32"/>
          <w:szCs w:val="32"/>
        </w:rPr>
        <w:t>药剂学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2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II</w:t>
      </w:r>
      <w:r>
        <w:rPr>
          <w:rFonts w:ascii="宋体" w:hAnsi="宋体"/>
          <w:b/>
          <w:sz w:val="32"/>
          <w:szCs w:val="32"/>
        </w:rPr>
        <w:fldChar w:fldCharType="end"/>
      </w:r>
      <w:r>
        <w:rPr>
          <w:rFonts w:ascii="宋体" w:hAnsi="宋体" w:hint="eastAsia"/>
          <w:b/>
          <w:sz w:val="32"/>
          <w:szCs w:val="32"/>
        </w:rPr>
        <w:t>（</w:t>
      </w:r>
      <w:r>
        <w:rPr>
          <w:rFonts w:ascii="宋体" w:hAnsi="宋体"/>
          <w:b/>
          <w:sz w:val="32"/>
          <w:szCs w:val="32"/>
        </w:rPr>
        <w:t>73</w:t>
      </w:r>
      <w:r>
        <w:rPr>
          <w:rFonts w:ascii="宋体" w:hAnsi="宋体" w:hint="eastAsia"/>
          <w:b/>
          <w:sz w:val="32"/>
          <w:szCs w:val="32"/>
        </w:rPr>
        <w:t>2</w:t>
      </w:r>
      <w:r>
        <w:rPr>
          <w:rFonts w:ascii="宋体" w:hAnsi="宋体"/>
          <w:b/>
          <w:sz w:val="32"/>
          <w:szCs w:val="32"/>
        </w:rPr>
        <w:t>009</w:t>
      </w:r>
      <w:r>
        <w:rPr>
          <w:rFonts w:ascii="宋体" w:hAnsi="宋体" w:hint="eastAsia"/>
          <w:b/>
          <w:sz w:val="32"/>
          <w:szCs w:val="32"/>
        </w:rPr>
        <w:t>）实验项目卡1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8A68E7" w:rsidTr="0063328B">
        <w:tblPrEx>
          <w:tblCellMar>
            <w:left w:w="20" w:type="dxa"/>
            <w:right w:w="20" w:type="dxa"/>
          </w:tblCellMar>
        </w:tblPrEx>
        <w:trPr>
          <w:cantSplit/>
          <w:trHeight w:val="398"/>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2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lang w:val="en-US" w:eastAsia="zh-CN"/>
              </w:rPr>
              <w:t>II</w:t>
            </w:r>
            <w:r>
              <w:rPr>
                <w:rFonts w:ascii="楷体" w:eastAsia="楷体" w:hAnsi="楷体" w:cs="宋体"/>
                <w:kern w:val="0"/>
                <w:sz w:val="24"/>
              </w:rPr>
              <w:fldChar w:fldCharType="end"/>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732009</w:t>
            </w:r>
          </w:p>
        </w:tc>
      </w:tr>
      <w:tr w:rsidR="008A68E7"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β-环糊精包合物的制备</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73200901</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4</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掌握β-环糊精的性质、应用以及包合物的一般质量检查。</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spacing w:line="320" w:lineRule="exact"/>
              <w:ind w:firstLineChars="200" w:firstLine="480"/>
              <w:rPr>
                <w:rFonts w:ascii="楷体" w:eastAsia="楷体" w:hAnsi="楷体" w:hint="eastAsia"/>
                <w:sz w:val="24"/>
              </w:rPr>
            </w:pPr>
            <w:r>
              <w:rPr>
                <w:rFonts w:ascii="楷体" w:eastAsia="楷体" w:hAnsi="楷体" w:hint="eastAsia"/>
                <w:sz w:val="24"/>
              </w:rPr>
              <w:t>采用饱和水溶液法制备薄荷油包合物，冷藏过滤,制得包合物,称重,测定收率，并利用 TLC法进行包合物的初步鉴别。</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β-环糊精分子具有较大的空穴结构，足以将客分子薄荷油容纳在内形成分子囊，提高其的稳定性。</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1.演示性□；2.验证性□；3.综合性□√；4.设计性□；5.研究性□。</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恒温水浴锅，超声仪，布氏漏斗，干燥器，层析缸</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ind w:left="-90"/>
              <w:rPr>
                <w:rFonts w:ascii="楷体" w:eastAsia="楷体" w:hAnsi="楷体" w:cs="宋体" w:hint="eastAsia"/>
                <w:sz w:val="24"/>
              </w:rPr>
            </w:pPr>
            <w:r>
              <w:rPr>
                <w:rFonts w:ascii="楷体" w:eastAsia="楷体" w:hAnsi="楷体" w:cs="宋体" w:hint="eastAsia"/>
                <w:sz w:val="24"/>
              </w:rPr>
              <w:t>12</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200103</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73</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药学院</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133001</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药剂室</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药学院410室</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原料药1g，环糊精200g，无水乙醇500ml，石油醚500ml，硅胶版一盒，香夹兰醛硫酸液500ml，载玻片、盖玻片、</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ind w:left="-90"/>
              <w:rPr>
                <w:rFonts w:ascii="楷体" w:eastAsia="楷体" w:hAnsi="楷体" w:cs="宋体" w:hint="eastAsia"/>
                <w:sz w:val="24"/>
              </w:rPr>
            </w:pPr>
            <w:r>
              <w:rPr>
                <w:rFonts w:ascii="楷体" w:eastAsia="楷体" w:hAnsi="楷体" w:cs="宋体" w:hint="eastAsia"/>
                <w:sz w:val="24"/>
              </w:rPr>
              <w:t>20元</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管清香</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8A68E7" w:rsidRDefault="008A68E7"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金向群</w:t>
            </w:r>
          </w:p>
        </w:tc>
      </w:tr>
    </w:tbl>
    <w:p w:rsidR="008A68E7" w:rsidRDefault="008A68E7" w:rsidP="008A68E7">
      <w:pPr>
        <w:adjustRightInd w:val="0"/>
        <w:snapToGrid w:val="0"/>
        <w:spacing w:line="360" w:lineRule="auto"/>
        <w:jc w:val="center"/>
        <w:rPr>
          <w:rFonts w:ascii="宋体" w:hAnsi="宋体" w:hint="eastAsia"/>
          <w:b/>
          <w:sz w:val="32"/>
          <w:szCs w:val="32"/>
        </w:rPr>
      </w:pPr>
    </w:p>
    <w:p w:rsidR="008A68E7" w:rsidRDefault="008A68E7" w:rsidP="008A68E7">
      <w:pPr>
        <w:adjustRightInd w:val="0"/>
        <w:snapToGrid w:val="0"/>
        <w:spacing w:line="360" w:lineRule="auto"/>
        <w:jc w:val="center"/>
        <w:rPr>
          <w:rFonts w:ascii="宋体" w:hAnsi="宋体" w:hint="eastAsia"/>
          <w:b/>
          <w:sz w:val="32"/>
          <w:szCs w:val="32"/>
        </w:rPr>
      </w:pPr>
    </w:p>
    <w:p w:rsidR="008A68E7" w:rsidRDefault="008A68E7" w:rsidP="008A68E7">
      <w:pPr>
        <w:adjustRightInd w:val="0"/>
        <w:snapToGrid w:val="0"/>
        <w:spacing w:line="360" w:lineRule="auto"/>
        <w:jc w:val="center"/>
        <w:rPr>
          <w:rFonts w:ascii="宋体" w:hAnsi="宋体" w:hint="eastAsia"/>
          <w:b/>
          <w:sz w:val="32"/>
          <w:szCs w:val="32"/>
        </w:rPr>
      </w:pPr>
    </w:p>
    <w:p w:rsidR="008A68E7" w:rsidRDefault="008A68E7" w:rsidP="008A68E7">
      <w:pPr>
        <w:adjustRightInd w:val="0"/>
        <w:snapToGrid w:val="0"/>
        <w:spacing w:line="360" w:lineRule="auto"/>
        <w:rPr>
          <w:rFonts w:ascii="宋体" w:hAnsi="宋体" w:hint="eastAsia"/>
          <w:b/>
          <w:sz w:val="32"/>
          <w:szCs w:val="32"/>
        </w:rPr>
      </w:pPr>
    </w:p>
    <w:p w:rsidR="008A68E7" w:rsidRDefault="008A68E7" w:rsidP="008A68E7">
      <w:pPr>
        <w:adjustRightInd w:val="0"/>
        <w:snapToGrid w:val="0"/>
        <w:spacing w:line="360" w:lineRule="auto"/>
        <w:jc w:val="center"/>
        <w:rPr>
          <w:rFonts w:ascii="宋体" w:hAnsi="宋体" w:hint="eastAsia"/>
          <w:b/>
          <w:sz w:val="32"/>
          <w:szCs w:val="32"/>
        </w:rPr>
      </w:pPr>
      <w:r>
        <w:rPr>
          <w:rFonts w:ascii="宋体" w:hAnsi="宋体" w:hint="eastAsia"/>
          <w:b/>
          <w:sz w:val="32"/>
          <w:szCs w:val="32"/>
        </w:rPr>
        <w:t>药剂学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2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II</w:t>
      </w:r>
      <w:r>
        <w:rPr>
          <w:rFonts w:ascii="宋体" w:hAnsi="宋体"/>
          <w:b/>
          <w:sz w:val="32"/>
          <w:szCs w:val="32"/>
        </w:rPr>
        <w:fldChar w:fldCharType="end"/>
      </w:r>
      <w:r>
        <w:rPr>
          <w:rFonts w:ascii="宋体" w:hAnsi="宋体" w:hint="eastAsia"/>
          <w:b/>
          <w:sz w:val="32"/>
          <w:szCs w:val="32"/>
        </w:rPr>
        <w:t>（</w:t>
      </w:r>
      <w:r>
        <w:rPr>
          <w:rFonts w:ascii="宋体" w:hAnsi="宋体"/>
          <w:b/>
          <w:sz w:val="32"/>
          <w:szCs w:val="32"/>
        </w:rPr>
        <w:t>732009</w:t>
      </w:r>
      <w:r>
        <w:rPr>
          <w:rFonts w:ascii="宋体" w:hAnsi="宋体" w:hint="eastAsia"/>
          <w:b/>
          <w:sz w:val="32"/>
          <w:szCs w:val="32"/>
        </w:rPr>
        <w:t>）实验项目卡2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8A68E7" w:rsidTr="0063328B">
        <w:trPr>
          <w:cantSplit/>
          <w:trHeight w:val="496"/>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lastRenderedPageBreak/>
              <w:t>No</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字段名</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center"/>
              <w:rPr>
                <w:rFonts w:ascii="仿宋" w:eastAsia="仿宋" w:hAnsi="仿宋" w:hint="eastAsia"/>
                <w:b/>
                <w:szCs w:val="21"/>
              </w:rPr>
            </w:pPr>
            <w:r>
              <w:rPr>
                <w:rFonts w:ascii="仿宋" w:eastAsia="仿宋" w:hAnsi="仿宋" w:hint="eastAsia"/>
                <w:b/>
                <w:szCs w:val="21"/>
              </w:rPr>
              <w:t>填写内容</w:t>
            </w:r>
          </w:p>
        </w:tc>
      </w:tr>
      <w:tr w:rsidR="008A68E7"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课程名称</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药剂学</w:t>
            </w:r>
            <w:r>
              <w:rPr>
                <w:rFonts w:ascii="楷体" w:eastAsia="楷体" w:hAnsi="楷体" w:hint="eastAsia"/>
                <w:sz w:val="24"/>
              </w:rPr>
              <w:fldChar w:fldCharType="begin"/>
            </w:r>
            <w:r>
              <w:rPr>
                <w:rFonts w:ascii="楷体" w:eastAsia="楷体" w:hAnsi="楷体" w:hint="eastAsia"/>
                <w:sz w:val="24"/>
              </w:rPr>
              <w:instrText xml:space="preserve"> = 2 \* ROMAN </w:instrText>
            </w:r>
            <w:r>
              <w:rPr>
                <w:rFonts w:ascii="楷体" w:eastAsia="楷体" w:hAnsi="楷体" w:hint="eastAsia"/>
                <w:sz w:val="24"/>
              </w:rPr>
              <w:fldChar w:fldCharType="separate"/>
            </w:r>
            <w:r>
              <w:rPr>
                <w:rFonts w:ascii="楷体" w:eastAsia="楷体" w:hAnsi="楷体" w:hint="eastAsia"/>
                <w:sz w:val="24"/>
              </w:rPr>
              <w:t>II</w:t>
            </w:r>
            <w:r>
              <w:rPr>
                <w:rFonts w:ascii="楷体" w:eastAsia="楷体" w:hAnsi="楷体" w:hint="eastAsia"/>
                <w:sz w:val="24"/>
              </w:rPr>
              <w:fldChar w:fldCharType="end"/>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课程编号</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732009</w:t>
            </w:r>
          </w:p>
        </w:tc>
      </w:tr>
      <w:tr w:rsidR="008A68E7"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实验项目名称</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微型胶囊的制备</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实验项目编号</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73200902</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网络实验</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0</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每组人数</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2</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计划学时数</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4</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实验性质</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必做</w:t>
            </w:r>
          </w:p>
        </w:tc>
      </w:tr>
      <w:tr w:rsidR="008A68E7" w:rsidTr="0063328B">
        <w:trPr>
          <w:cantSplit/>
          <w:trHeight w:val="593"/>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实验目的</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1．掌握复凝聚法制备微囊的工艺；</w:t>
            </w:r>
          </w:p>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2．了解凝聚法制备微囊的原理。</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实验内容</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spacing w:line="320" w:lineRule="exact"/>
              <w:ind w:firstLineChars="200" w:firstLine="480"/>
              <w:rPr>
                <w:rFonts w:ascii="楷体" w:eastAsia="楷体" w:hAnsi="楷体" w:hint="eastAsia"/>
                <w:sz w:val="24"/>
              </w:rPr>
            </w:pPr>
            <w:r>
              <w:rPr>
                <w:rFonts w:ascii="楷体" w:eastAsia="楷体" w:hAnsi="楷体" w:hint="eastAsia"/>
                <w:sz w:val="24"/>
              </w:rPr>
              <w:t>以阿拉伯胶和明胶为囊材，液体石蜡为模型药物，以阿拉伯胶为乳化剂，以组织捣碎机制备液体石蜡初乳，再将其搅拌下与明胶溶液混合，调pH值而使阿拉伯胶和明胶分别带相反电荷凝聚成囊，将其稀释后加入交联固化剂，再次调节pH而固化成囊。通过观察乳剂、软滑囊及固化囊的形态及粒径，验证制得微囊。</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实验原理</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明胶为两性蛋白质，在等电点以下带正电荷，阿拉伯胶带负电荷，二者形成复合物，溶解度降低而析出成囊。</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实验类型</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实验者层次</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本科生</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实验仪器设备</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恒温水浴锅，酸度笔，显微镜</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实验套数</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12</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开出时间</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200103</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教学单位名称</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药学院</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教学单位编号</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73</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19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实验单位名称</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药学院</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20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实验中心编号</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133001</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21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实验地名称</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药剂室</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22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实验地编号</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药学院410室</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23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一次性材料品名</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明胶300g，阿拉伯胶300g，液状石蜡500ml，甲醛溶液500ml，醋酸500ml，氢氧化钠100g，精密PH试纸</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24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一次性材料</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18元</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25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面向专业</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药学</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26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实验项目卡制定人</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管清香</w:t>
            </w:r>
          </w:p>
        </w:tc>
      </w:tr>
      <w:tr w:rsidR="008A68E7" w:rsidTr="0063328B">
        <w:trPr>
          <w:cantSplit/>
          <w:trHeight w:val="284"/>
        </w:trPr>
        <w:tc>
          <w:tcPr>
            <w:tcW w:w="410"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rPr>
                <w:rFonts w:ascii="宋体" w:hAnsi="宋体" w:hint="eastAsia"/>
                <w:szCs w:val="21"/>
              </w:rPr>
            </w:pPr>
            <w:r>
              <w:rPr>
                <w:rFonts w:ascii="宋体" w:hAnsi="宋体" w:hint="eastAsia"/>
                <w:szCs w:val="21"/>
              </w:rPr>
              <w:t>27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实验项目卡审核人</w:t>
            </w:r>
          </w:p>
        </w:tc>
        <w:tc>
          <w:tcPr>
            <w:tcW w:w="6270"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金向群</w:t>
            </w:r>
          </w:p>
        </w:tc>
      </w:tr>
    </w:tbl>
    <w:p w:rsidR="008A68E7" w:rsidRDefault="008A68E7" w:rsidP="008A68E7">
      <w:pPr>
        <w:adjustRightInd w:val="0"/>
        <w:snapToGrid w:val="0"/>
        <w:spacing w:line="360" w:lineRule="auto"/>
        <w:jc w:val="center"/>
        <w:rPr>
          <w:rFonts w:eastAsia="黑体" w:hAnsi="Arial" w:hint="eastAsia"/>
          <w:b/>
          <w:szCs w:val="21"/>
        </w:rPr>
      </w:pPr>
    </w:p>
    <w:p w:rsidR="008A68E7" w:rsidRDefault="008A68E7" w:rsidP="008A68E7">
      <w:pPr>
        <w:adjustRightInd w:val="0"/>
        <w:snapToGrid w:val="0"/>
        <w:spacing w:line="360" w:lineRule="auto"/>
        <w:jc w:val="center"/>
        <w:rPr>
          <w:rFonts w:eastAsia="黑体" w:hAnsi="Arial" w:hint="eastAsia"/>
          <w:b/>
          <w:szCs w:val="21"/>
        </w:rPr>
      </w:pPr>
    </w:p>
    <w:p w:rsidR="008A68E7" w:rsidRDefault="008A68E7" w:rsidP="008A68E7">
      <w:pPr>
        <w:adjustRightInd w:val="0"/>
        <w:snapToGrid w:val="0"/>
        <w:spacing w:line="360" w:lineRule="auto"/>
        <w:jc w:val="center"/>
        <w:rPr>
          <w:rFonts w:eastAsia="黑体" w:hAnsi="Arial" w:hint="eastAsia"/>
          <w:b/>
          <w:szCs w:val="21"/>
        </w:rPr>
      </w:pPr>
    </w:p>
    <w:p w:rsidR="008A68E7" w:rsidRDefault="008A68E7" w:rsidP="008A68E7">
      <w:pPr>
        <w:adjustRightInd w:val="0"/>
        <w:snapToGrid w:val="0"/>
        <w:spacing w:line="360" w:lineRule="auto"/>
        <w:jc w:val="center"/>
        <w:rPr>
          <w:rFonts w:ascii="宋体" w:hAnsi="宋体" w:hint="eastAsia"/>
          <w:b/>
          <w:sz w:val="32"/>
          <w:szCs w:val="32"/>
        </w:rPr>
      </w:pPr>
      <w:r>
        <w:rPr>
          <w:rFonts w:ascii="宋体" w:hAnsi="宋体" w:hint="eastAsia"/>
          <w:b/>
          <w:sz w:val="32"/>
          <w:szCs w:val="32"/>
        </w:rPr>
        <w:t>药剂学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2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II</w:t>
      </w:r>
      <w:r>
        <w:rPr>
          <w:rFonts w:ascii="宋体" w:hAnsi="宋体"/>
          <w:b/>
          <w:sz w:val="32"/>
          <w:szCs w:val="32"/>
        </w:rPr>
        <w:fldChar w:fldCharType="end"/>
      </w:r>
      <w:r>
        <w:rPr>
          <w:rFonts w:ascii="宋体" w:hAnsi="宋体" w:hint="eastAsia"/>
          <w:b/>
          <w:sz w:val="32"/>
          <w:szCs w:val="32"/>
        </w:rPr>
        <w:t>（</w:t>
      </w:r>
      <w:r>
        <w:rPr>
          <w:rFonts w:ascii="宋体" w:hAnsi="宋体"/>
          <w:b/>
          <w:sz w:val="32"/>
          <w:szCs w:val="32"/>
        </w:rPr>
        <w:t>732009</w:t>
      </w:r>
      <w:r>
        <w:rPr>
          <w:rFonts w:ascii="宋体" w:hAnsi="宋体" w:hint="eastAsia"/>
          <w:b/>
          <w:sz w:val="32"/>
          <w:szCs w:val="32"/>
        </w:rPr>
        <w:t>）实验项目卡3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57"/>
        <w:gridCol w:w="1803"/>
        <w:gridCol w:w="6246"/>
      </w:tblGrid>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lastRenderedPageBreak/>
              <w:t>No</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字段名</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center"/>
              <w:rPr>
                <w:rFonts w:ascii="楷体_GB2312" w:eastAsia="楷体_GB2312" w:hAnsi="Arial" w:hint="eastAsia"/>
                <w:sz w:val="24"/>
              </w:rPr>
            </w:pPr>
            <w:r>
              <w:rPr>
                <w:rFonts w:ascii="楷体_GB2312" w:eastAsia="楷体_GB2312" w:hAnsi="Arial" w:hint="eastAsia"/>
                <w:sz w:val="24"/>
              </w:rPr>
              <w:t>填写内容</w:t>
            </w:r>
          </w:p>
        </w:tc>
      </w:tr>
      <w:tr w:rsidR="008A68E7" w:rsidTr="0063328B">
        <w:tblPrEx>
          <w:tblCellMar>
            <w:left w:w="20" w:type="dxa"/>
            <w:right w:w="20" w:type="dxa"/>
          </w:tblCellMar>
        </w:tblPrEx>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课程名称</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药剂学</w:t>
            </w:r>
            <w:r>
              <w:rPr>
                <w:rFonts w:ascii="楷体" w:eastAsia="楷体" w:hAnsi="楷体" w:hint="eastAsia"/>
                <w:sz w:val="24"/>
              </w:rPr>
              <w:fldChar w:fldCharType="begin"/>
            </w:r>
            <w:r>
              <w:rPr>
                <w:rFonts w:ascii="楷体" w:eastAsia="楷体" w:hAnsi="楷体" w:hint="eastAsia"/>
                <w:sz w:val="24"/>
              </w:rPr>
              <w:instrText xml:space="preserve"> = 2 \* ROMAN </w:instrText>
            </w:r>
            <w:r>
              <w:rPr>
                <w:rFonts w:ascii="楷体" w:eastAsia="楷体" w:hAnsi="楷体" w:hint="eastAsia"/>
                <w:sz w:val="24"/>
              </w:rPr>
              <w:fldChar w:fldCharType="separate"/>
            </w:r>
            <w:r>
              <w:rPr>
                <w:rFonts w:ascii="楷体" w:eastAsia="楷体" w:hAnsi="楷体" w:hint="eastAsia"/>
                <w:sz w:val="24"/>
              </w:rPr>
              <w:t>II</w:t>
            </w:r>
            <w:r>
              <w:rPr>
                <w:rFonts w:ascii="楷体" w:eastAsia="楷体" w:hAnsi="楷体" w:hint="eastAsia"/>
                <w:sz w:val="24"/>
              </w:rPr>
              <w:fldChar w:fldCharType="end"/>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课程编号</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732009</w:t>
            </w:r>
          </w:p>
        </w:tc>
      </w:tr>
      <w:tr w:rsidR="008A68E7" w:rsidTr="0063328B">
        <w:tblPrEx>
          <w:tblCellMar>
            <w:left w:w="50" w:type="dxa"/>
            <w:right w:w="50" w:type="dxa"/>
          </w:tblCellMar>
        </w:tblPrEx>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3</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实验项目名称</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固体分散体-共沉淀物的制备</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4</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实验项目编号</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73200903</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5</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网络实验</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0</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6</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每组人数</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2</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7</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计划学时数</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6</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8</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实验性质</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必做</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9</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实验目的</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1.掌握固体分散体的制备方法</w:t>
            </w:r>
          </w:p>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2.了解共沉淀物提高溶出的机理，了解共沉淀物在药剂学上的应用。</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10</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实验内容</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spacing w:line="320" w:lineRule="exact"/>
              <w:ind w:firstLineChars="200" w:firstLine="480"/>
              <w:rPr>
                <w:rFonts w:ascii="楷体" w:eastAsia="楷体" w:hAnsi="楷体" w:hint="eastAsia"/>
                <w:sz w:val="24"/>
              </w:rPr>
            </w:pPr>
            <w:r>
              <w:rPr>
                <w:rFonts w:ascii="楷体" w:eastAsia="楷体" w:hAnsi="楷体" w:cs="宋体" w:hint="eastAsia"/>
                <w:kern w:val="0"/>
                <w:sz w:val="24"/>
              </w:rPr>
              <w:t>取磺胺噻唑加适量乙醇溶解，挥去乙醇，制得磺胺噻唑-PVP共沉淀物，同时等量递增混合法制备磺胺噻唑-PVP物理混合物，显微镜下观察磺胺噻唑、磺胺噻唑-PVP物理混合物、磺胺噻唑-PVP共沉淀物的形态，并采用溶出仪进行体外溶出度对比，计算各样品的溶出速率，并进行评价。</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11</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实验原理</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ind w:firstLineChars="150" w:firstLine="360"/>
              <w:jc w:val="left"/>
              <w:rPr>
                <w:rFonts w:ascii="楷体" w:eastAsia="楷体" w:hAnsi="楷体" w:hint="eastAsia"/>
                <w:sz w:val="24"/>
              </w:rPr>
            </w:pPr>
            <w:r>
              <w:rPr>
                <w:rFonts w:ascii="楷体" w:eastAsia="楷体" w:hAnsi="楷体" w:hint="eastAsia"/>
                <w:sz w:val="24"/>
              </w:rPr>
              <w:t>生物溶蚀性骨架材料、胃不溶性骨架材料，可制备缓释制剂，因其在胃肠中逐渐溶蚀或溶解而缓慢释放药物。</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12</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实验类型</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1.演示性□；2.验证性□；3.综合性□√；4.设计性□；5.研究性□。</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13</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实验者层次</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本科生</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14</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实验仪器设备</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药物溶出仪，研钵，恒温水浴锅，药筛，显微镜</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15</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实验套数</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12</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16</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开出时间</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200103</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17</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教学单位名称</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药学院</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18</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教学单位编号</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73</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19</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实验单位名称</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药学院</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20</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实验中心编号</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133001</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21</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实验地名称</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药剂室</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22</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实验地编号</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药学院410室</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23</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一次性材料品名</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磺胺噻唑50g,95%乙醇，聚乙烯比咯烷酮100g，载玻片，盖玻片,盐酸500ml，胃蛋白酶10g.</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24</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一次性材料</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21元</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25</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面向专业</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药学</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26</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实验项目卡制定人</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管清香</w:t>
            </w:r>
          </w:p>
        </w:tc>
      </w:tr>
      <w:tr w:rsidR="008A68E7" w:rsidTr="0063328B">
        <w:trPr>
          <w:cantSplit/>
          <w:trHeight w:val="284"/>
        </w:trPr>
        <w:tc>
          <w:tcPr>
            <w:tcW w:w="457"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27</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实验项目卡审核人</w:t>
            </w:r>
          </w:p>
        </w:tc>
        <w:tc>
          <w:tcPr>
            <w:tcW w:w="6246"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金向群</w:t>
            </w:r>
          </w:p>
        </w:tc>
      </w:tr>
    </w:tbl>
    <w:p w:rsidR="008A68E7" w:rsidRDefault="008A68E7" w:rsidP="008A68E7">
      <w:pPr>
        <w:adjustRightInd w:val="0"/>
        <w:snapToGrid w:val="0"/>
        <w:spacing w:line="360" w:lineRule="auto"/>
        <w:jc w:val="center"/>
        <w:rPr>
          <w:rFonts w:eastAsia="黑体" w:hAnsi="Arial" w:hint="eastAsia"/>
          <w:b/>
          <w:szCs w:val="21"/>
        </w:rPr>
      </w:pPr>
    </w:p>
    <w:p w:rsidR="008A68E7" w:rsidRDefault="008A68E7" w:rsidP="008A68E7">
      <w:pPr>
        <w:adjustRightInd w:val="0"/>
        <w:snapToGrid w:val="0"/>
        <w:spacing w:line="360" w:lineRule="auto"/>
        <w:jc w:val="center"/>
        <w:rPr>
          <w:rFonts w:eastAsia="黑体" w:hAnsi="Arial" w:hint="eastAsia"/>
          <w:b/>
          <w:szCs w:val="21"/>
        </w:rPr>
      </w:pPr>
    </w:p>
    <w:p w:rsidR="008A68E7" w:rsidRDefault="008A68E7" w:rsidP="008A68E7">
      <w:pPr>
        <w:adjustRightInd w:val="0"/>
        <w:snapToGrid w:val="0"/>
        <w:spacing w:line="360" w:lineRule="auto"/>
        <w:jc w:val="center"/>
        <w:rPr>
          <w:rFonts w:eastAsia="黑体" w:hAnsi="Arial" w:hint="eastAsia"/>
          <w:b/>
          <w:szCs w:val="21"/>
        </w:rPr>
      </w:pPr>
    </w:p>
    <w:p w:rsidR="008A68E7" w:rsidRDefault="008A68E7" w:rsidP="008A68E7">
      <w:pPr>
        <w:adjustRightInd w:val="0"/>
        <w:snapToGrid w:val="0"/>
        <w:spacing w:line="360" w:lineRule="auto"/>
        <w:jc w:val="center"/>
        <w:rPr>
          <w:rFonts w:eastAsia="黑体" w:hAnsi="Arial" w:hint="eastAsia"/>
          <w:b/>
          <w:szCs w:val="21"/>
        </w:rPr>
      </w:pPr>
    </w:p>
    <w:p w:rsidR="008A68E7" w:rsidRDefault="008A68E7" w:rsidP="008A68E7">
      <w:pPr>
        <w:adjustRightInd w:val="0"/>
        <w:snapToGrid w:val="0"/>
        <w:spacing w:line="360" w:lineRule="auto"/>
        <w:jc w:val="center"/>
        <w:rPr>
          <w:rFonts w:ascii="宋体" w:hAnsi="宋体" w:hint="eastAsia"/>
          <w:b/>
          <w:sz w:val="32"/>
          <w:szCs w:val="32"/>
        </w:rPr>
      </w:pPr>
      <w:r>
        <w:rPr>
          <w:rFonts w:ascii="宋体" w:hAnsi="宋体" w:hint="eastAsia"/>
          <w:b/>
          <w:sz w:val="32"/>
          <w:szCs w:val="32"/>
        </w:rPr>
        <w:t>药剂学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2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II</w:t>
      </w:r>
      <w:r>
        <w:rPr>
          <w:rFonts w:ascii="宋体" w:hAnsi="宋体"/>
          <w:b/>
          <w:sz w:val="32"/>
          <w:szCs w:val="32"/>
        </w:rPr>
        <w:fldChar w:fldCharType="end"/>
      </w:r>
      <w:r>
        <w:rPr>
          <w:rFonts w:ascii="宋体" w:hAnsi="宋体" w:hint="eastAsia"/>
          <w:b/>
          <w:sz w:val="32"/>
          <w:szCs w:val="32"/>
        </w:rPr>
        <w:t>（</w:t>
      </w:r>
      <w:r>
        <w:rPr>
          <w:rFonts w:ascii="宋体" w:hAnsi="宋体"/>
          <w:b/>
          <w:sz w:val="32"/>
          <w:szCs w:val="32"/>
        </w:rPr>
        <w:t>732009</w:t>
      </w:r>
      <w:r>
        <w:rPr>
          <w:rFonts w:ascii="宋体" w:hAnsi="宋体" w:hint="eastAsia"/>
          <w:b/>
          <w:sz w:val="32"/>
          <w:szCs w:val="32"/>
        </w:rPr>
        <w:t>）实验项目卡4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58"/>
        <w:gridCol w:w="1803"/>
        <w:gridCol w:w="6245"/>
      </w:tblGrid>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lastRenderedPageBreak/>
              <w:t>No</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字段名</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center"/>
              <w:rPr>
                <w:rFonts w:ascii="楷体_GB2312" w:eastAsia="楷体_GB2312" w:hAnsi="Arial" w:hint="eastAsia"/>
                <w:sz w:val="24"/>
              </w:rPr>
            </w:pPr>
            <w:r>
              <w:rPr>
                <w:rFonts w:ascii="楷体_GB2312" w:eastAsia="楷体_GB2312" w:hAnsi="Arial" w:hint="eastAsia"/>
                <w:sz w:val="24"/>
              </w:rPr>
              <w:t>填写内容</w:t>
            </w:r>
          </w:p>
        </w:tc>
      </w:tr>
      <w:tr w:rsidR="008A68E7" w:rsidTr="0063328B">
        <w:tblPrEx>
          <w:tblCellMar>
            <w:left w:w="20" w:type="dxa"/>
            <w:right w:w="20" w:type="dxa"/>
          </w:tblCellMar>
        </w:tblPrEx>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课程名称</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药剂学</w:t>
            </w:r>
            <w:r>
              <w:rPr>
                <w:rFonts w:ascii="楷体" w:eastAsia="楷体" w:hAnsi="楷体" w:hint="eastAsia"/>
                <w:sz w:val="24"/>
              </w:rPr>
              <w:fldChar w:fldCharType="begin"/>
            </w:r>
            <w:r>
              <w:rPr>
                <w:rFonts w:ascii="楷体" w:eastAsia="楷体" w:hAnsi="楷体" w:hint="eastAsia"/>
                <w:sz w:val="24"/>
              </w:rPr>
              <w:instrText xml:space="preserve"> = 2 \* ROMAN </w:instrText>
            </w:r>
            <w:r>
              <w:rPr>
                <w:rFonts w:ascii="楷体" w:eastAsia="楷体" w:hAnsi="楷体" w:hint="eastAsia"/>
                <w:sz w:val="24"/>
              </w:rPr>
              <w:fldChar w:fldCharType="separate"/>
            </w:r>
            <w:r>
              <w:rPr>
                <w:rFonts w:ascii="楷体" w:eastAsia="楷体" w:hAnsi="楷体" w:hint="eastAsia"/>
                <w:sz w:val="24"/>
              </w:rPr>
              <w:t>II</w:t>
            </w:r>
            <w:r>
              <w:rPr>
                <w:rFonts w:ascii="楷体" w:eastAsia="楷体" w:hAnsi="楷体" w:hint="eastAsia"/>
                <w:sz w:val="24"/>
              </w:rPr>
              <w:fldChar w:fldCharType="end"/>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课程编号</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732009</w:t>
            </w:r>
          </w:p>
        </w:tc>
      </w:tr>
      <w:tr w:rsidR="008A68E7" w:rsidTr="0063328B">
        <w:tblPrEx>
          <w:tblCellMar>
            <w:left w:w="50" w:type="dxa"/>
            <w:right w:w="50" w:type="dxa"/>
          </w:tblCellMar>
        </w:tblPrEx>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3</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实验项目名称</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缓释片的制备</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4</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实验项目编号</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73200904</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5</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网络实验</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0</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6</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每组人数</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2</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7</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计划学时数</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8</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8</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实验性质</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必做</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9</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实验目的</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1.掌握缓释制剂的制备方法。</w:t>
            </w:r>
          </w:p>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2.了解缓释片基本原理与设计方法。</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10</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实验内容</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spacing w:line="320" w:lineRule="exact"/>
              <w:ind w:firstLineChars="200" w:firstLine="480"/>
              <w:rPr>
                <w:rFonts w:ascii="楷体" w:eastAsia="楷体" w:hAnsi="楷体" w:hint="eastAsia"/>
                <w:sz w:val="24"/>
              </w:rPr>
            </w:pPr>
            <w:r>
              <w:rPr>
                <w:rFonts w:ascii="楷体" w:eastAsia="楷体" w:hAnsi="楷体" w:hint="eastAsia"/>
                <w:sz w:val="24"/>
              </w:rPr>
              <w:t>以茶碱为模型药物，将药物和辅料分别80目药筛，分别利用湿法制粒压片法制备茶碱普通片、溶蚀性茶碱缓释片以及胃不溶性茶碱缓释骨架片，</w:t>
            </w:r>
            <w:r>
              <w:rPr>
                <w:rFonts w:ascii="楷体" w:eastAsia="楷体" w:hAnsi="楷体" w:cs="宋体" w:hint="eastAsia"/>
                <w:kern w:val="0"/>
                <w:sz w:val="24"/>
              </w:rPr>
              <w:t>并采用溶出仪进行体外溶出度对比，计算各样品的个取样时间药物的累积释放量，以累积释放百分率对时间作图，绘制释放曲线，并进行评价。</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11</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实验原理</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ind w:firstLineChars="150" w:firstLine="360"/>
              <w:jc w:val="left"/>
              <w:rPr>
                <w:rFonts w:ascii="楷体" w:eastAsia="楷体" w:hAnsi="楷体" w:hint="eastAsia"/>
                <w:sz w:val="24"/>
              </w:rPr>
            </w:pPr>
            <w:r>
              <w:rPr>
                <w:rFonts w:ascii="楷体" w:eastAsia="楷体" w:hAnsi="楷体" w:hint="eastAsia"/>
                <w:sz w:val="24"/>
              </w:rPr>
              <w:t>采用生物溶蚀性骨架材料、胃不溶性骨架材料，可制备缓释制剂，因其在胃肠中逐渐溶蚀或溶解而缓慢释放药物。</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12</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实验类型</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1.演示性□；2.验证性□；3.综合性□√；4.设计性□；5.研究性□。</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13</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实验者层次</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本科生</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14</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实验仪器设备</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药物溶出仪，药筛，打片机，紫外分光光度计，天平，容量瓶</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15</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实验套数</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6</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16</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开出时间</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200103</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17</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教学单位名称</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药学院</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18</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教学单位编号</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73</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19</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实验单位名称</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药学院</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20</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实验中心编号</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133001</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21</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实验地名称</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药剂室</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22</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实验地编号</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药学院410室</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23</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一次性材料品名</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茶碱1000g,淀粉50g,硬脂酸镁50g，硬脂醇50g,HPMC 50g,丙烯酸树脂类3号 50g,盐酸500ml, 滤膜100个。</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24</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一次性材料</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20元</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25</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面向专业</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药学</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26</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实验项目卡制定人</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jc w:val="left"/>
              <w:rPr>
                <w:rFonts w:ascii="楷体" w:eastAsia="楷体" w:hAnsi="楷体" w:hint="eastAsia"/>
                <w:sz w:val="24"/>
              </w:rPr>
            </w:pPr>
            <w:r>
              <w:rPr>
                <w:rFonts w:ascii="楷体" w:eastAsia="楷体" w:hAnsi="楷体" w:hint="eastAsia"/>
                <w:sz w:val="24"/>
              </w:rPr>
              <w:t>管清香</w:t>
            </w:r>
          </w:p>
        </w:tc>
      </w:tr>
      <w:tr w:rsidR="008A68E7" w:rsidTr="0063328B">
        <w:trPr>
          <w:cantSplit/>
          <w:trHeight w:val="284"/>
        </w:trPr>
        <w:tc>
          <w:tcPr>
            <w:tcW w:w="458" w:type="dxa"/>
            <w:tcBorders>
              <w:top w:val="single" w:sz="4" w:space="0" w:color="auto"/>
              <w:bottom w:val="single" w:sz="4" w:space="0" w:color="auto"/>
              <w:right w:val="single" w:sz="4" w:space="0" w:color="auto"/>
            </w:tcBorders>
            <w:vAlign w:val="center"/>
          </w:tcPr>
          <w:p w:rsidR="008A68E7" w:rsidRDefault="008A68E7" w:rsidP="0063328B">
            <w:pPr>
              <w:adjustRightInd w:val="0"/>
              <w:snapToGrid w:val="0"/>
              <w:jc w:val="center"/>
              <w:rPr>
                <w:rFonts w:eastAsia="黑体" w:hAnsi="Arial" w:hint="eastAsia"/>
                <w:szCs w:val="21"/>
              </w:rPr>
            </w:pPr>
            <w:r>
              <w:rPr>
                <w:rFonts w:eastAsia="黑体" w:hAnsi="Arial" w:hint="eastAsia"/>
                <w:szCs w:val="21"/>
              </w:rPr>
              <w:t>27</w:t>
            </w:r>
          </w:p>
        </w:tc>
        <w:tc>
          <w:tcPr>
            <w:tcW w:w="1803" w:type="dxa"/>
            <w:tcBorders>
              <w:top w:val="single" w:sz="4" w:space="0" w:color="auto"/>
              <w:bottom w:val="single" w:sz="4" w:space="0" w:color="auto"/>
              <w:right w:val="single" w:sz="4" w:space="0" w:color="auto"/>
            </w:tcBorders>
            <w:tcMar>
              <w:left w:w="40" w:type="dxa"/>
              <w:right w:w="40" w:type="dxa"/>
            </w:tcMar>
            <w:vAlign w:val="center"/>
          </w:tcPr>
          <w:p w:rsidR="008A68E7" w:rsidRDefault="008A68E7" w:rsidP="0063328B">
            <w:pPr>
              <w:adjustRightInd w:val="0"/>
              <w:snapToGrid w:val="0"/>
              <w:jc w:val="center"/>
              <w:rPr>
                <w:rFonts w:ascii="宋体" w:hAnsi="宋体" w:hint="eastAsia"/>
                <w:szCs w:val="21"/>
              </w:rPr>
            </w:pPr>
            <w:r>
              <w:rPr>
                <w:rFonts w:ascii="宋体" w:hAnsi="宋体" w:hint="eastAsia"/>
                <w:szCs w:val="21"/>
              </w:rPr>
              <w:t>实验项目卡审核人</w:t>
            </w:r>
          </w:p>
        </w:tc>
        <w:tc>
          <w:tcPr>
            <w:tcW w:w="6245" w:type="dxa"/>
            <w:tcBorders>
              <w:top w:val="single" w:sz="4" w:space="0" w:color="auto"/>
              <w:left w:val="single" w:sz="4" w:space="0" w:color="auto"/>
              <w:bottom w:val="single" w:sz="4" w:space="0" w:color="auto"/>
            </w:tcBorders>
            <w:vAlign w:val="center"/>
          </w:tcPr>
          <w:p w:rsidR="008A68E7" w:rsidRDefault="008A68E7" w:rsidP="0063328B">
            <w:pPr>
              <w:adjustRightInd w:val="0"/>
              <w:snapToGrid w:val="0"/>
              <w:rPr>
                <w:rFonts w:ascii="楷体" w:eastAsia="楷体" w:hAnsi="楷体" w:hint="eastAsia"/>
                <w:sz w:val="24"/>
              </w:rPr>
            </w:pPr>
            <w:r>
              <w:rPr>
                <w:rFonts w:ascii="楷体" w:eastAsia="楷体" w:hAnsi="楷体" w:hint="eastAsia"/>
                <w:sz w:val="24"/>
              </w:rPr>
              <w:t>金向群</w:t>
            </w:r>
          </w:p>
        </w:tc>
      </w:tr>
    </w:tbl>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68E7"/>
    <w:rsid w:val="008A68E7"/>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E7"/>
    <w:pPr>
      <w:widowControl w:val="0"/>
      <w:jc w:val="both"/>
    </w:pPr>
    <w:rPr>
      <w:rFonts w:ascii="Times New Roman" w:eastAsia="宋体" w:hAnsi="Times New Roman" w:cs="Times New Roman"/>
      <w:szCs w:val="24"/>
    </w:rPr>
  </w:style>
  <w:style w:type="paragraph" w:styleId="1">
    <w:name w:val="heading 1"/>
    <w:basedOn w:val="a"/>
    <w:next w:val="a"/>
    <w:link w:val="1Char"/>
    <w:qFormat/>
    <w:rsid w:val="008A68E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A68E7"/>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2016-02-01T03:04:00Z</dcterms:created>
  <dcterms:modified xsi:type="dcterms:W3CDTF">2016-02-01T03:04:00Z</dcterms:modified>
</cp:coreProperties>
</file>