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69" w:rsidRDefault="00713E69" w:rsidP="00713E69">
      <w:pPr>
        <w:pStyle w:val="1"/>
        <w:spacing w:before="156" w:after="156" w:line="400" w:lineRule="exact"/>
        <w:jc w:val="center"/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基因工程学（732015）实验教学大纲</w:t>
      </w:r>
    </w:p>
    <w:p w:rsidR="00713E69" w:rsidRDefault="00713E69" w:rsidP="00713E69">
      <w:pPr>
        <w:rPr>
          <w:rFonts w:ascii="楷体_GB2312" w:eastAsia="楷体_GB2312" w:hint="eastAsia"/>
        </w:rPr>
      </w:pP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01．教学单位名称：</w:t>
      </w:r>
      <w:r>
        <w:rPr>
          <w:rFonts w:ascii="楷体_GB2312" w:eastAsia="楷体_GB2312" w:hAnsi="华文中宋" w:hint="eastAsia"/>
          <w:sz w:val="24"/>
        </w:rPr>
        <w:t>吉林大学药学院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02．实验中心名称：</w:t>
      </w:r>
      <w:r>
        <w:rPr>
          <w:rFonts w:ascii="楷体_GB2312" w:eastAsia="楷体_GB2312" w:hAnsi="华文中宋" w:hint="eastAsia"/>
          <w:sz w:val="24"/>
        </w:rPr>
        <w:t>生物工程（医学）实验中心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03．课程名称：</w:t>
      </w:r>
      <w:r>
        <w:rPr>
          <w:rFonts w:ascii="楷体_GB2312" w:eastAsia="楷体_GB2312" w:hAnsi="华文中宋" w:hint="eastAsia"/>
          <w:sz w:val="24"/>
        </w:rPr>
        <w:t>基因工程学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04．课程代码：</w:t>
      </w:r>
      <w:r>
        <w:rPr>
          <w:rFonts w:ascii="楷体_GB2312" w:eastAsia="楷体_GB2312" w:hAnsi="华文中宋" w:hint="eastAsia"/>
          <w:sz w:val="24"/>
        </w:rPr>
        <w:t>732018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05．课程类别：</w:t>
      </w:r>
      <w:r>
        <w:rPr>
          <w:rFonts w:ascii="楷体_GB2312" w:eastAsia="楷体_GB2312" w:hAnsi="华文中宋" w:hint="eastAsia"/>
          <w:sz w:val="24"/>
        </w:rPr>
        <w:t>专业课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06．课程性质：</w:t>
      </w:r>
      <w:r>
        <w:rPr>
          <w:rFonts w:ascii="楷体_GB2312" w:eastAsia="楷体_GB2312" w:hAnsi="华文中宋" w:hint="eastAsia"/>
          <w:sz w:val="24"/>
        </w:rPr>
        <w:t>必修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07．课程学时：</w:t>
      </w:r>
      <w:r>
        <w:rPr>
          <w:rFonts w:ascii="楷体_GB2312" w:eastAsia="楷体_GB2312" w:hAnsi="华文中宋" w:hint="eastAsia"/>
          <w:sz w:val="24"/>
        </w:rPr>
        <w:t>9</w:t>
      </w:r>
      <w:r>
        <w:rPr>
          <w:rFonts w:ascii="楷体_GB2312" w:eastAsia="楷体_GB2312" w:hAnsi="华文中宋" w:hint="eastAsia"/>
          <w:bCs/>
          <w:sz w:val="24"/>
        </w:rPr>
        <w:t>6</w:t>
      </w:r>
      <w:r>
        <w:rPr>
          <w:rFonts w:ascii="楷体_GB2312" w:eastAsia="楷体_GB2312" w:hAnsi="华文中宋" w:hint="eastAsia"/>
          <w:sz w:val="24"/>
        </w:rPr>
        <w:t>学时，其中含实验 48学时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Cs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08．课程学分：</w:t>
      </w:r>
      <w:r>
        <w:rPr>
          <w:rFonts w:ascii="楷体_GB2312" w:eastAsia="楷体_GB2312" w:hAnsi="华文中宋" w:hint="eastAsia"/>
          <w:bCs/>
          <w:sz w:val="24"/>
        </w:rPr>
        <w:t>4.5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09．面向专业：</w:t>
      </w:r>
      <w:r>
        <w:rPr>
          <w:rFonts w:ascii="楷体_GB2312" w:eastAsia="楷体_GB2312" w:hAnsi="华文中宋" w:hint="eastAsia"/>
          <w:sz w:val="24"/>
        </w:rPr>
        <w:t>生物医学工程（再生医学）专业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10．实验课程的教学任务、要求和教学目的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基因工程技术是现代生物技术的核心技术，《基因工程学》是生命学科的专业必修课，也是一门实践性很强的课程，基因工程实验课是基因工程课程教学中的重要组成部分。本课程的目的是使学生加深对理论知识的理解，掌握基因工程核心技术DNA重组技术的原理和操作方法，提高实验操作技能，掌握基因克隆的设计思路和策略，培养学生独立工作的能力和实事求是的科学作风，为以后的学习和科研工作打下良好的基础。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本实验课程是基因工程理论教学内容的实践，要求学生全面掌握DNA重组技术的原理和操作方法，包括DNA的提取技术、DNA扩增技术、DNA的酶切技术、DNA重组与转化技术及目的基因的筛选技术；熟悉蛋白电泳和DNA电泳胶的制备；了解常用仪器的使用方法和注意事项。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11．学生应掌握的实验技术及实验能力</w:t>
      </w:r>
    </w:p>
    <w:p w:rsidR="00713E69" w:rsidRDefault="00713E69" w:rsidP="00713E69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通过本实验课程的学习，使学生掌握基因工程的基本实验原理、操作方法、注意事项，加深对理论知识的理解，同时学会分析实验结果，书写实验报告。具体应达到以下要求：</w:t>
      </w:r>
    </w:p>
    <w:p w:rsidR="00713E69" w:rsidRDefault="00713E69" w:rsidP="00713E69">
      <w:pPr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（1）掌握DNA重组技术的原理和操作方法。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（2）熟悉DNA电泳凝胶的配制方法和电泳原理。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（3）了解PCR仪的使用和程序设计方法。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color w:val="000000"/>
          <w:sz w:val="24"/>
        </w:rPr>
      </w:pPr>
      <w:r>
        <w:rPr>
          <w:rFonts w:ascii="楷体_GB2312" w:eastAsia="楷体_GB2312" w:hAnsi="华文中宋" w:hint="eastAsia"/>
          <w:color w:val="000000"/>
          <w:sz w:val="24"/>
        </w:rPr>
        <w:t>（4）培养学生独立思考、提出问题和解决问题的能力。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12．开设实验项目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DNA重组技术是基因工程学的核心技术，是将不同的DNA片段按人们的设计方案定向连接起来，并在特定的受体细胞中复制表达。我们根据DNA重组技术的操作程序设计已知序列基因的克隆实验，该实验为综合性实验，具体包括采用PCR方法扩增目的基因，限制性酶切后与合适的载体连接形成重组DNA，转化受体细胞，筛选重组子。通过基因工程学实验，可以使同学们掌握基本的实验技术，并对DNA重组技术有一个全面系统的理解。</w:t>
      </w:r>
    </w:p>
    <w:p w:rsidR="00713E69" w:rsidRDefault="00713E69" w:rsidP="00713E69">
      <w:pPr>
        <w:adjustRightInd w:val="0"/>
        <w:snapToGrid w:val="0"/>
        <w:spacing w:line="320" w:lineRule="exact"/>
        <w:jc w:val="center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开设实验项目一览表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1"/>
        <w:gridCol w:w="2268"/>
        <w:gridCol w:w="1134"/>
        <w:gridCol w:w="1134"/>
        <w:gridCol w:w="1134"/>
        <w:gridCol w:w="1111"/>
        <w:gridCol w:w="917"/>
      </w:tblGrid>
      <w:tr w:rsidR="00713E69" w:rsidTr="0063328B">
        <w:trPr>
          <w:trHeight w:val="285"/>
        </w:trPr>
        <w:tc>
          <w:tcPr>
            <w:tcW w:w="1151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实验项目编号</w:t>
            </w:r>
          </w:p>
        </w:tc>
        <w:tc>
          <w:tcPr>
            <w:tcW w:w="2268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实验项目名称</w:t>
            </w:r>
          </w:p>
        </w:tc>
        <w:tc>
          <w:tcPr>
            <w:tcW w:w="1134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实验类型</w:t>
            </w:r>
          </w:p>
        </w:tc>
        <w:tc>
          <w:tcPr>
            <w:tcW w:w="1134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实验性质</w:t>
            </w:r>
          </w:p>
        </w:tc>
        <w:tc>
          <w:tcPr>
            <w:tcW w:w="1134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实验学时</w:t>
            </w:r>
          </w:p>
        </w:tc>
        <w:tc>
          <w:tcPr>
            <w:tcW w:w="1111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每组人数</w:t>
            </w:r>
          </w:p>
        </w:tc>
        <w:tc>
          <w:tcPr>
            <w:tcW w:w="917" w:type="dxa"/>
          </w:tcPr>
          <w:p w:rsidR="00713E69" w:rsidRDefault="00713E69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首次开出年月</w:t>
            </w:r>
          </w:p>
        </w:tc>
      </w:tr>
      <w:tr w:rsidR="00713E69" w:rsidTr="0063328B">
        <w:trPr>
          <w:trHeight w:val="285"/>
        </w:trPr>
        <w:tc>
          <w:tcPr>
            <w:tcW w:w="1151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73201501</w:t>
            </w:r>
          </w:p>
        </w:tc>
        <w:tc>
          <w:tcPr>
            <w:tcW w:w="2268" w:type="dxa"/>
            <w:vAlign w:val="center"/>
          </w:tcPr>
          <w:p w:rsidR="00713E69" w:rsidRDefault="00713E69" w:rsidP="0063328B">
            <w:pPr>
              <w:widowControl/>
              <w:tabs>
                <w:tab w:val="left" w:pos="2118"/>
              </w:tabs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已知序列基因的克隆</w:t>
            </w:r>
          </w:p>
        </w:tc>
        <w:tc>
          <w:tcPr>
            <w:tcW w:w="1134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综合性</w:t>
            </w:r>
          </w:p>
        </w:tc>
        <w:tc>
          <w:tcPr>
            <w:tcW w:w="1134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134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1111" w:type="dxa"/>
            <w:vAlign w:val="center"/>
          </w:tcPr>
          <w:p w:rsidR="00713E69" w:rsidRDefault="00713E69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917" w:type="dxa"/>
          </w:tcPr>
          <w:p w:rsidR="00713E69" w:rsidRDefault="00713E69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200704</w:t>
            </w:r>
          </w:p>
        </w:tc>
      </w:tr>
    </w:tbl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13．实验教材或指导书或主要参考资料</w:t>
      </w:r>
    </w:p>
    <w:p w:rsidR="00713E69" w:rsidRDefault="00713E69" w:rsidP="00713E69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lastRenderedPageBreak/>
        <w:t>（1）魏景艳等，基因工程学实验，自编，2007年.</w:t>
      </w:r>
    </w:p>
    <w:p w:rsidR="00713E69" w:rsidRDefault="00713E69" w:rsidP="00713E69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（2）马文丽，《分子生物学实验手册》，人民军医出版社，2011年6月.</w:t>
      </w:r>
    </w:p>
    <w:p w:rsidR="00713E69" w:rsidRDefault="00713E69" w:rsidP="00713E69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（3）J.萨姆布鲁克等，《分子克隆实验指南》（精编版），化学工业出版社，2008年1月.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14．考核要求、考核方式及成绩评定标准</w:t>
      </w:r>
    </w:p>
    <w:p w:rsidR="00713E69" w:rsidRDefault="00713E69" w:rsidP="00713E69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考核要求：掌握DNA重组技术的原理；已知序列基因克隆的实验操作方法。</w:t>
      </w:r>
    </w:p>
    <w:p w:rsidR="00713E69" w:rsidRDefault="00713E69" w:rsidP="00713E69">
      <w:pPr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考核方式：实验操作、实验态度和实验报告。</w:t>
      </w:r>
    </w:p>
    <w:p w:rsidR="00713E69" w:rsidRDefault="00713E69" w:rsidP="00713E69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楷体_GB2312" w:eastAsia="楷体_GB2312" w:hAnsi="华文中宋" w:hint="eastAsia"/>
          <w:sz w:val="24"/>
        </w:rPr>
        <w:t>成绩评定标准：</w:t>
      </w:r>
      <w:r>
        <w:rPr>
          <w:rFonts w:ascii="楷体_GB2312" w:eastAsia="楷体_GB2312" w:hAnsi="华文中宋" w:hint="eastAsia"/>
          <w:color w:val="000000"/>
          <w:sz w:val="24"/>
        </w:rPr>
        <w:t>实验报告（40%）、实验操作（40%）和实验态度（20%）三项为实验成绩评分的考核标准，实验课考核成绩占《基因工程学》课程总成绩的30%。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15．执笔人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霍锐 副教授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16．制定日期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20131021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17．审核人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魏景艳 教授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18．审核日期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20131028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19．学院审定程序说明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大纲制定完毕后首先由学院教学指导委员对实验内容进行审定，然后由负责该实验的实验中心对耗材及价格进行审定。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20．学院审定日期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713E69" w:rsidRDefault="00713E69" w:rsidP="00713E69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</w:p>
    <w:p w:rsidR="00713E69" w:rsidRDefault="00713E69" w:rsidP="00713E69">
      <w:pPr>
        <w:adjustRightInd w:val="0"/>
        <w:snapToGrid w:val="0"/>
        <w:rPr>
          <w:rFonts w:ascii="楷体_GB2312" w:eastAsia="楷体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djustRightInd w:val="0"/>
        <w:snapToGrid w:val="0"/>
        <w:rPr>
          <w:rFonts w:ascii="仿宋_GB2312" w:eastAsia="仿宋_GB2312" w:hAnsi="华文中宋" w:hint="eastAsia"/>
          <w:sz w:val="28"/>
          <w:szCs w:val="28"/>
        </w:rPr>
      </w:pPr>
    </w:p>
    <w:p w:rsidR="00713E69" w:rsidRDefault="00713E69" w:rsidP="00713E69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713E69" w:rsidRDefault="00713E69" w:rsidP="00713E69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基因工程学（732015）实验项目卡1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713E69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基因工程学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732015</w:t>
            </w:r>
          </w:p>
        </w:tc>
      </w:tr>
      <w:tr w:rsidR="00713E69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已知序列基因的克隆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73201501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32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djustRightInd w:val="0"/>
              <w:snapToGrid w:val="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掌握已知序列基因克隆的原理、流程及操作方法，包括目的基因的分离，与载体的连接，重组DNA的转化及重组子的鉴定。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PCR扩增目的基因、凝胶回收目的基因、限制性酶酶切目的基因、与载体片段的连接、转化大肠杆菌、提取质粒、筛选重组子。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重组DNA技术是用酶学方法，将不同来源的DNA分子在体外进行特异切割、重新连接，组成新的杂合DNA分子。这个杂合分子能够在一定的宿主细胞中进行扩增，形成大量的子代分子。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1.演示性□；2.验证性□；3.综合性□√；4.设计性□；5.研究性□。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PCR仪，电泳仪，台式离心机，低温高速离心机，超净工作台，凝胶成像仪，恒温水浴箱，制冰机，恒温培养箱，振荡培养箱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snapToGrid w:val="0"/>
              <w:ind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200704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药学院207室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PCR引物（5OD），TaqDNA聚合酶（1支），dNTP（1支），凝胶回收试剂盒（2盒），质粒回收试剂盒（2盒），T4DNA连接酶（1支），BamHI（4支），NdeI（6支），荧光染料（1支），氨苄青霉素（1g）等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snapToGrid w:val="0"/>
              <w:ind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380元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药学专业生物药学方向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霍锐</w:t>
            </w:r>
          </w:p>
        </w:tc>
      </w:tr>
      <w:tr w:rsidR="00713E69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E69" w:rsidRDefault="00713E69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魏景艳</w:t>
            </w:r>
          </w:p>
        </w:tc>
      </w:tr>
    </w:tbl>
    <w:p w:rsidR="00F9465A" w:rsidRDefault="00F9465A"/>
    <w:sectPr w:rsidR="00F9465A" w:rsidSect="00F9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E69"/>
    <w:rsid w:val="00713E69"/>
    <w:rsid w:val="00F9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13E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13E6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2016-02-01T03:10:00Z</dcterms:created>
  <dcterms:modified xsi:type="dcterms:W3CDTF">2016-02-01T03:10:00Z</dcterms:modified>
</cp:coreProperties>
</file>