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09" w:rsidRDefault="00367509" w:rsidP="00367509">
      <w:pPr>
        <w:pStyle w:val="1"/>
        <w:spacing w:before="156" w:after="156" w:line="400" w:lineRule="exact"/>
        <w:jc w:val="center"/>
        <w:rPr>
          <w:rFonts w:ascii="华文中宋" w:eastAsia="华文中宋" w:hAnsi="华文中宋"/>
          <w:b w:val="0"/>
          <w:sz w:val="28"/>
          <w:szCs w:val="28"/>
        </w:rPr>
      </w:pPr>
      <w:r>
        <w:rPr>
          <w:rFonts w:ascii="楷体_GB2312" w:eastAsia="楷体_GB2312" w:hAnsi="华文中宋" w:hint="eastAsia"/>
          <w:color w:val="000000"/>
          <w:spacing w:val="-14"/>
          <w:sz w:val="32"/>
          <w:szCs w:val="32"/>
        </w:rPr>
        <w:t>生物药剂学与药物动力学</w:t>
      </w:r>
      <w:r>
        <w:rPr>
          <w:rFonts w:ascii="楷体_GB2312" w:eastAsia="楷体_GB2312" w:hAnsi="华文中宋" w:hint="eastAsia"/>
          <w:sz w:val="32"/>
          <w:szCs w:val="32"/>
        </w:rPr>
        <w:t>（732010）实验教学大纲</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01．教学单位名称：</w:t>
      </w:r>
      <w:r>
        <w:rPr>
          <w:rFonts w:ascii="楷体_GB2312" w:eastAsia="楷体_GB2312" w:hAnsi="华文中宋" w:hint="eastAsia"/>
          <w:sz w:val="24"/>
        </w:rPr>
        <w:t>吉林大学药学院</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02．实验中心名称：</w:t>
      </w:r>
      <w:r>
        <w:rPr>
          <w:rFonts w:ascii="楷体_GB2312" w:eastAsia="楷体_GB2312" w:hAnsi="华文中宋" w:hint="eastAsia"/>
          <w:sz w:val="24"/>
        </w:rPr>
        <w:t>吉林大学药学实验中心</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03．课程名称：</w:t>
      </w:r>
      <w:r>
        <w:rPr>
          <w:rFonts w:ascii="楷体_GB2312" w:eastAsia="楷体_GB2312" w:hAnsi="华文中宋" w:hint="eastAsia"/>
          <w:sz w:val="24"/>
        </w:rPr>
        <w:t>生物药剂学与药物动力学</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04．课程代码：</w:t>
      </w:r>
      <w:r>
        <w:rPr>
          <w:rFonts w:ascii="楷体_GB2312" w:eastAsia="楷体_GB2312" w:hAnsi="华文中宋" w:hint="eastAsia"/>
          <w:sz w:val="24"/>
        </w:rPr>
        <w:t>732010</w:t>
      </w:r>
    </w:p>
    <w:p w:rsidR="00367509" w:rsidRDefault="00367509" w:rsidP="00367509">
      <w:pPr>
        <w:adjustRightInd w:val="0"/>
        <w:snapToGrid w:val="0"/>
        <w:spacing w:line="320" w:lineRule="exact"/>
        <w:ind w:firstLineChars="200" w:firstLine="482"/>
        <w:rPr>
          <w:rFonts w:ascii="楷体_GB2312" w:eastAsia="楷体_GB2312" w:hAnsi="华文中宋"/>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07．课程学时：</w:t>
      </w:r>
      <w:r>
        <w:rPr>
          <w:rFonts w:ascii="楷体_GB2312" w:eastAsia="楷体_GB2312" w:hAnsi="华文中宋" w:hint="eastAsia"/>
          <w:sz w:val="24"/>
        </w:rPr>
        <w:t>48  学时，其中含实验16 学时</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08．课程学分：</w:t>
      </w:r>
      <w:r>
        <w:rPr>
          <w:rFonts w:ascii="楷体_GB2312" w:eastAsia="楷体_GB2312" w:hAnsi="华文中宋" w:hint="eastAsia"/>
          <w:sz w:val="24"/>
        </w:rPr>
        <w:t>2.5学分</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09．面向专业：</w:t>
      </w:r>
      <w:r>
        <w:rPr>
          <w:rFonts w:ascii="楷体_GB2312" w:eastAsia="楷体_GB2312" w:hAnsi="华文中宋" w:hint="eastAsia"/>
          <w:sz w:val="24"/>
        </w:rPr>
        <w:t>药学专业（药学方向）、临床药学专业（五年）</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10．实验课程的教学任务、要求和教学目的</w:t>
      </w:r>
    </w:p>
    <w:p w:rsidR="00367509" w:rsidRDefault="00367509" w:rsidP="00367509">
      <w:pPr>
        <w:spacing w:line="320" w:lineRule="exact"/>
        <w:ind w:left="420"/>
        <w:rPr>
          <w:rFonts w:ascii="楷体_GB2312" w:eastAsia="楷体_GB2312" w:hAnsi="华文中宋"/>
          <w:sz w:val="24"/>
        </w:rPr>
      </w:pPr>
      <w:r>
        <w:rPr>
          <w:rFonts w:ascii="宋体" w:hAnsi="宋体" w:hint="eastAsia"/>
        </w:rPr>
        <w:t xml:space="preserve">   </w:t>
      </w:r>
      <w:r>
        <w:rPr>
          <w:rFonts w:ascii="宋体" w:hAnsi="宋体" w:hint="eastAsia"/>
          <w:b/>
        </w:rPr>
        <w:t xml:space="preserve"> </w:t>
      </w:r>
      <w:r>
        <w:rPr>
          <w:rFonts w:ascii="楷体_GB2312" w:eastAsia="楷体_GB2312" w:hAnsi="华文中宋" w:hint="eastAsia"/>
          <w:b/>
          <w:sz w:val="24"/>
        </w:rPr>
        <w:t>教学任务：</w:t>
      </w:r>
      <w:r>
        <w:rPr>
          <w:rFonts w:ascii="楷体_GB2312" w:eastAsia="楷体_GB2312" w:hAnsi="华文中宋" w:hint="eastAsia"/>
          <w:sz w:val="24"/>
        </w:rPr>
        <w:t>在理论学习的基础上，使学生通过自己设计实验并自己动手完成实验。实验中，首先根据实验目的获得尿药样品，对样品进行处理并测定尿药浓度；其次，根据口服尿药速度公式计算核黄素的消除速度常数。使学生通过完成实验的全过程，深入理解药动学参数的意义及求算方法。</w:t>
      </w:r>
    </w:p>
    <w:p w:rsidR="00367509" w:rsidRDefault="00367509" w:rsidP="00367509">
      <w:pPr>
        <w:spacing w:line="320" w:lineRule="exact"/>
        <w:ind w:leftChars="200" w:left="420" w:firstLineChars="196" w:firstLine="472"/>
        <w:rPr>
          <w:rFonts w:ascii="楷体_GB2312" w:eastAsia="楷体_GB2312" w:hAnsi="华文中宋"/>
          <w:sz w:val="24"/>
        </w:rPr>
      </w:pPr>
      <w:r>
        <w:rPr>
          <w:rFonts w:ascii="楷体_GB2312" w:eastAsia="楷体_GB2312" w:hAnsi="华文中宋" w:hint="eastAsia"/>
          <w:b/>
          <w:sz w:val="24"/>
        </w:rPr>
        <w:t>教学要求：</w:t>
      </w:r>
      <w:r>
        <w:rPr>
          <w:rFonts w:ascii="楷体_GB2312" w:eastAsia="楷体_GB2312" w:hAnsi="华文中宋" w:hint="eastAsia"/>
          <w:sz w:val="24"/>
        </w:rPr>
        <w:t>要求学生选择大鼠为模型动物或自己服药（</w:t>
      </w:r>
      <w:r>
        <w:rPr>
          <w:rFonts w:ascii="楷体_GB2312" w:eastAsia="楷体_GB2312" w:hAnsi="华文中宋"/>
          <w:sz w:val="24"/>
        </w:rPr>
        <w:t>VB2</w:t>
      </w:r>
      <w:r>
        <w:rPr>
          <w:rFonts w:ascii="楷体_GB2312" w:eastAsia="楷体_GB2312" w:hAnsi="华文中宋" w:hint="eastAsia"/>
          <w:sz w:val="24"/>
        </w:rPr>
        <w:t>：对人体无伤害）进行实验设计并自己动手完成实验，获得动力学参数——消除速度常数。</w:t>
      </w:r>
    </w:p>
    <w:p w:rsidR="00367509" w:rsidRDefault="00367509" w:rsidP="00367509">
      <w:pPr>
        <w:spacing w:line="320" w:lineRule="exact"/>
        <w:ind w:leftChars="200" w:left="420" w:firstLineChars="196" w:firstLine="472"/>
        <w:rPr>
          <w:rFonts w:ascii="楷体_GB2312" w:eastAsia="楷体_GB2312" w:hAnsi="华文中宋"/>
          <w:sz w:val="24"/>
        </w:rPr>
      </w:pPr>
      <w:r>
        <w:rPr>
          <w:rFonts w:ascii="楷体_GB2312" w:eastAsia="楷体_GB2312" w:hAnsi="华文中宋" w:hint="eastAsia"/>
          <w:b/>
          <w:sz w:val="24"/>
        </w:rPr>
        <w:t>教学目的：</w:t>
      </w:r>
      <w:r>
        <w:rPr>
          <w:rFonts w:ascii="楷体_GB2312" w:eastAsia="楷体_GB2312" w:hAnsi="华文中宋" w:hint="eastAsia"/>
          <w:sz w:val="24"/>
        </w:rPr>
        <w:t xml:space="preserve">掌握通过尿药实验测定尿药浓度，根据尿药速度公式计算消除速度常数（重要的动力学参数）的方法和步骤。 </w:t>
      </w:r>
    </w:p>
    <w:p w:rsidR="00367509" w:rsidRDefault="00367509" w:rsidP="00367509">
      <w:pPr>
        <w:spacing w:line="320" w:lineRule="exact"/>
        <w:ind w:left="420"/>
        <w:rPr>
          <w:rFonts w:ascii="楷体_GB2312" w:eastAsia="楷体_GB2312" w:hAnsi="华文中宋"/>
          <w:b/>
          <w:sz w:val="24"/>
        </w:rPr>
      </w:pPr>
      <w:r>
        <w:rPr>
          <w:rFonts w:ascii="宋体" w:hAnsi="宋体" w:hint="eastAsia"/>
        </w:rPr>
        <w:t xml:space="preserve"> </w:t>
      </w:r>
      <w:r>
        <w:rPr>
          <w:rFonts w:ascii="楷体_GB2312" w:eastAsia="楷体_GB2312" w:hAnsi="华文中宋" w:hint="eastAsia"/>
          <w:b/>
          <w:sz w:val="24"/>
        </w:rPr>
        <w:t>11．学生应掌握的实验技术及实验能力</w:t>
      </w:r>
    </w:p>
    <w:p w:rsidR="00367509" w:rsidRDefault="00367509" w:rsidP="00367509">
      <w:pPr>
        <w:adjustRightInd w:val="0"/>
        <w:snapToGrid w:val="0"/>
        <w:spacing w:line="320" w:lineRule="exact"/>
        <w:ind w:firstLineChars="200" w:firstLine="482"/>
        <w:rPr>
          <w:rFonts w:ascii="楷体_GB2312" w:eastAsia="楷体_GB2312" w:hAnsi="华文中宋"/>
          <w:sz w:val="24"/>
        </w:rPr>
      </w:pPr>
      <w:r>
        <w:rPr>
          <w:rFonts w:ascii="楷体_GB2312" w:eastAsia="楷体_GB2312" w:hAnsi="华文中宋" w:hint="eastAsia"/>
          <w:b/>
          <w:sz w:val="24"/>
        </w:rPr>
        <w:t>学生应掌握的实验技术：</w:t>
      </w:r>
      <w:r>
        <w:rPr>
          <w:rFonts w:ascii="楷体_GB2312" w:eastAsia="楷体_GB2312" w:hAnsi="华文中宋" w:hint="eastAsia"/>
          <w:sz w:val="24"/>
        </w:rPr>
        <w:t>动物灌胃技术、样品收集、样品处理及尿药浓度的检测方法和标准溶液的配制等实验技术。</w:t>
      </w:r>
    </w:p>
    <w:p w:rsidR="00367509" w:rsidRDefault="00367509" w:rsidP="00367509">
      <w:pPr>
        <w:adjustRightInd w:val="0"/>
        <w:snapToGrid w:val="0"/>
        <w:spacing w:line="320" w:lineRule="exact"/>
        <w:ind w:firstLineChars="200" w:firstLine="482"/>
        <w:rPr>
          <w:rFonts w:ascii="楷体_GB2312" w:eastAsia="楷体_GB2312" w:hAnsi="华文中宋"/>
          <w:sz w:val="24"/>
        </w:rPr>
      </w:pPr>
      <w:r>
        <w:rPr>
          <w:rFonts w:ascii="楷体_GB2312" w:eastAsia="楷体_GB2312" w:hAnsi="华文中宋" w:hint="eastAsia"/>
          <w:b/>
          <w:sz w:val="24"/>
        </w:rPr>
        <w:t>学生应掌握的实验能力：</w:t>
      </w:r>
      <w:r>
        <w:rPr>
          <w:rFonts w:ascii="楷体_GB2312" w:eastAsia="楷体_GB2312" w:hAnsi="华文中宋" w:hint="eastAsia"/>
          <w:sz w:val="24"/>
        </w:rPr>
        <w:t>通过数据库进行文献调研能力，自己根据文献设计实验的能力和自己动手完成实验全过程的能力及对实验结果进行分析和归纳的能力。</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12．开设实验项目</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口服给维生素B</w:t>
      </w:r>
      <w:r>
        <w:rPr>
          <w:rFonts w:ascii="楷体_GB2312" w:eastAsia="楷体_GB2312" w:hAnsi="华文中宋" w:hint="eastAsia"/>
          <w:sz w:val="24"/>
          <w:vertAlign w:val="subscript"/>
        </w:rPr>
        <w:t>2</w:t>
      </w:r>
      <w:r>
        <w:rPr>
          <w:rFonts w:ascii="楷体_GB2312" w:eastAsia="楷体_GB2312" w:hAnsi="华文中宋" w:hint="eastAsia"/>
          <w:sz w:val="24"/>
        </w:rPr>
        <w:t>药物后，测定药物在体内的消除速度常数。</w:t>
      </w:r>
    </w:p>
    <w:p w:rsidR="00367509" w:rsidRDefault="00367509" w:rsidP="00367509">
      <w:pPr>
        <w:adjustRightInd w:val="0"/>
        <w:snapToGrid w:val="0"/>
        <w:spacing w:line="320" w:lineRule="exact"/>
        <w:jc w:val="center"/>
        <w:rPr>
          <w:rFonts w:ascii="楷体_GB2312" w:eastAsia="楷体_GB2312" w:hAnsi="华文中宋"/>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2724"/>
        <w:gridCol w:w="1056"/>
        <w:gridCol w:w="1080"/>
        <w:gridCol w:w="1080"/>
        <w:gridCol w:w="683"/>
        <w:gridCol w:w="985"/>
      </w:tblGrid>
      <w:tr w:rsidR="00367509" w:rsidTr="0063328B">
        <w:trPr>
          <w:trHeight w:val="285"/>
        </w:trPr>
        <w:tc>
          <w:tcPr>
            <w:tcW w:w="1241" w:type="dxa"/>
            <w:vAlign w:val="center"/>
          </w:tcPr>
          <w:p w:rsidR="00367509" w:rsidRDefault="00367509" w:rsidP="0063328B">
            <w:pPr>
              <w:widowControl/>
              <w:adjustRightInd w:val="0"/>
              <w:snapToGrid w:val="0"/>
              <w:spacing w:line="320" w:lineRule="exact"/>
              <w:jc w:val="center"/>
              <w:rPr>
                <w:rFonts w:ascii="楷体_GB2312" w:eastAsia="楷体_GB2312" w:hAnsi="宋体" w:cs="宋体"/>
                <w:b/>
                <w:kern w:val="0"/>
                <w:szCs w:val="21"/>
              </w:rPr>
            </w:pPr>
            <w:r>
              <w:rPr>
                <w:rFonts w:ascii="楷体_GB2312" w:eastAsia="楷体_GB2312" w:hAnsi="宋体" w:cs="宋体" w:hint="eastAsia"/>
                <w:b/>
                <w:kern w:val="0"/>
                <w:szCs w:val="21"/>
              </w:rPr>
              <w:t>实验项目编号</w:t>
            </w:r>
          </w:p>
        </w:tc>
        <w:tc>
          <w:tcPr>
            <w:tcW w:w="2724" w:type="dxa"/>
            <w:vAlign w:val="center"/>
          </w:tcPr>
          <w:p w:rsidR="00367509" w:rsidRDefault="00367509" w:rsidP="0063328B">
            <w:pPr>
              <w:widowControl/>
              <w:adjustRightInd w:val="0"/>
              <w:snapToGrid w:val="0"/>
              <w:spacing w:line="320" w:lineRule="exact"/>
              <w:jc w:val="center"/>
              <w:rPr>
                <w:rFonts w:ascii="楷体_GB2312" w:eastAsia="楷体_GB2312" w:hAnsi="宋体" w:cs="宋体"/>
                <w:b/>
                <w:kern w:val="0"/>
                <w:szCs w:val="21"/>
              </w:rPr>
            </w:pPr>
            <w:r>
              <w:rPr>
                <w:rFonts w:ascii="楷体_GB2312" w:eastAsia="楷体_GB2312" w:hAnsi="宋体" w:cs="宋体" w:hint="eastAsia"/>
                <w:b/>
                <w:kern w:val="0"/>
                <w:szCs w:val="21"/>
              </w:rPr>
              <w:t>实验项目名称</w:t>
            </w:r>
          </w:p>
        </w:tc>
        <w:tc>
          <w:tcPr>
            <w:tcW w:w="1056" w:type="dxa"/>
            <w:vAlign w:val="center"/>
          </w:tcPr>
          <w:p w:rsidR="00367509" w:rsidRDefault="00367509" w:rsidP="0063328B">
            <w:pPr>
              <w:widowControl/>
              <w:adjustRightInd w:val="0"/>
              <w:snapToGrid w:val="0"/>
              <w:spacing w:line="320" w:lineRule="exact"/>
              <w:jc w:val="center"/>
              <w:rPr>
                <w:rFonts w:ascii="楷体_GB2312" w:eastAsia="楷体_GB2312" w:hAnsi="宋体" w:cs="宋体"/>
                <w:b/>
                <w:kern w:val="0"/>
                <w:szCs w:val="21"/>
              </w:rPr>
            </w:pPr>
            <w:r>
              <w:rPr>
                <w:rFonts w:ascii="楷体_GB2312" w:eastAsia="楷体_GB2312" w:hAnsi="宋体" w:cs="宋体" w:hint="eastAsia"/>
                <w:b/>
                <w:kern w:val="0"/>
                <w:szCs w:val="21"/>
              </w:rPr>
              <w:t>实验类型</w:t>
            </w:r>
          </w:p>
        </w:tc>
        <w:tc>
          <w:tcPr>
            <w:tcW w:w="1080" w:type="dxa"/>
            <w:vAlign w:val="center"/>
          </w:tcPr>
          <w:p w:rsidR="00367509" w:rsidRDefault="00367509" w:rsidP="0063328B">
            <w:pPr>
              <w:widowControl/>
              <w:adjustRightInd w:val="0"/>
              <w:snapToGrid w:val="0"/>
              <w:spacing w:line="320" w:lineRule="exact"/>
              <w:jc w:val="center"/>
              <w:rPr>
                <w:rFonts w:ascii="楷体_GB2312" w:eastAsia="楷体_GB2312" w:hAnsi="宋体" w:cs="宋体"/>
                <w:b/>
                <w:kern w:val="0"/>
                <w:szCs w:val="21"/>
              </w:rPr>
            </w:pPr>
            <w:r>
              <w:rPr>
                <w:rFonts w:ascii="楷体_GB2312" w:eastAsia="楷体_GB2312" w:hAnsi="宋体" w:cs="宋体" w:hint="eastAsia"/>
                <w:b/>
                <w:kern w:val="0"/>
                <w:szCs w:val="21"/>
              </w:rPr>
              <w:t>实验性质</w:t>
            </w:r>
          </w:p>
        </w:tc>
        <w:tc>
          <w:tcPr>
            <w:tcW w:w="1080" w:type="dxa"/>
            <w:vAlign w:val="center"/>
          </w:tcPr>
          <w:p w:rsidR="00367509" w:rsidRDefault="00367509" w:rsidP="0063328B">
            <w:pPr>
              <w:widowControl/>
              <w:adjustRightInd w:val="0"/>
              <w:snapToGrid w:val="0"/>
              <w:spacing w:line="320" w:lineRule="exact"/>
              <w:jc w:val="center"/>
              <w:rPr>
                <w:rFonts w:ascii="楷体_GB2312" w:eastAsia="楷体_GB2312" w:hAnsi="宋体" w:cs="宋体"/>
                <w:b/>
                <w:kern w:val="0"/>
                <w:szCs w:val="21"/>
              </w:rPr>
            </w:pPr>
            <w:r>
              <w:rPr>
                <w:rFonts w:ascii="楷体_GB2312" w:eastAsia="楷体_GB2312" w:hAnsi="宋体" w:cs="宋体" w:hint="eastAsia"/>
                <w:b/>
                <w:kern w:val="0"/>
                <w:szCs w:val="21"/>
              </w:rPr>
              <w:t>实验学时</w:t>
            </w:r>
          </w:p>
        </w:tc>
        <w:tc>
          <w:tcPr>
            <w:tcW w:w="683" w:type="dxa"/>
            <w:vAlign w:val="center"/>
          </w:tcPr>
          <w:p w:rsidR="00367509" w:rsidRDefault="00367509" w:rsidP="0063328B">
            <w:pPr>
              <w:widowControl/>
              <w:adjustRightInd w:val="0"/>
              <w:snapToGrid w:val="0"/>
              <w:spacing w:line="320" w:lineRule="exact"/>
              <w:jc w:val="center"/>
              <w:rPr>
                <w:rFonts w:ascii="楷体_GB2312" w:eastAsia="楷体_GB2312" w:hAnsi="宋体" w:cs="宋体"/>
                <w:b/>
                <w:kern w:val="0"/>
                <w:szCs w:val="21"/>
              </w:rPr>
            </w:pPr>
            <w:r>
              <w:rPr>
                <w:rFonts w:ascii="楷体_GB2312" w:eastAsia="楷体_GB2312" w:hAnsi="宋体" w:cs="宋体" w:hint="eastAsia"/>
                <w:b/>
                <w:kern w:val="0"/>
                <w:szCs w:val="21"/>
              </w:rPr>
              <w:t>每组人数</w:t>
            </w:r>
          </w:p>
        </w:tc>
        <w:tc>
          <w:tcPr>
            <w:tcW w:w="985" w:type="dxa"/>
          </w:tcPr>
          <w:p w:rsidR="00367509" w:rsidRDefault="00367509" w:rsidP="0063328B">
            <w:pPr>
              <w:widowControl/>
              <w:adjustRightInd w:val="0"/>
              <w:snapToGrid w:val="0"/>
              <w:spacing w:line="320" w:lineRule="exact"/>
              <w:jc w:val="center"/>
              <w:rPr>
                <w:rFonts w:ascii="楷体_GB2312" w:eastAsia="楷体_GB2312" w:hAnsi="宋体" w:cs="宋体"/>
                <w:b/>
                <w:kern w:val="0"/>
                <w:szCs w:val="21"/>
              </w:rPr>
            </w:pPr>
            <w:r>
              <w:rPr>
                <w:rFonts w:ascii="楷体_GB2312" w:eastAsia="楷体_GB2312" w:hAnsi="宋体" w:cs="宋体" w:hint="eastAsia"/>
                <w:b/>
                <w:kern w:val="0"/>
                <w:szCs w:val="21"/>
              </w:rPr>
              <w:t>首次开出年月</w:t>
            </w:r>
          </w:p>
        </w:tc>
      </w:tr>
      <w:tr w:rsidR="00367509" w:rsidTr="0063328B">
        <w:trPr>
          <w:trHeight w:val="285"/>
        </w:trPr>
        <w:tc>
          <w:tcPr>
            <w:tcW w:w="1241" w:type="dxa"/>
            <w:vAlign w:val="center"/>
          </w:tcPr>
          <w:p w:rsidR="00367509" w:rsidRDefault="00367509" w:rsidP="0063328B">
            <w:pPr>
              <w:widowControl/>
              <w:adjustRightInd w:val="0"/>
              <w:snapToGrid w:val="0"/>
              <w:spacing w:line="320" w:lineRule="exact"/>
              <w:jc w:val="center"/>
              <w:rPr>
                <w:rFonts w:ascii="仿宋" w:eastAsia="仿宋" w:hAnsi="仿宋" w:cs="宋体"/>
                <w:kern w:val="0"/>
                <w:szCs w:val="21"/>
              </w:rPr>
            </w:pPr>
            <w:r>
              <w:rPr>
                <w:rFonts w:ascii="仿宋" w:eastAsia="仿宋" w:hAnsi="仿宋" w:cs="宋体" w:hint="eastAsia"/>
                <w:kern w:val="0"/>
                <w:szCs w:val="21"/>
              </w:rPr>
              <w:t>73201001</w:t>
            </w:r>
          </w:p>
        </w:tc>
        <w:tc>
          <w:tcPr>
            <w:tcW w:w="2724" w:type="dxa"/>
            <w:vAlign w:val="center"/>
          </w:tcPr>
          <w:p w:rsidR="00367509" w:rsidRDefault="00367509" w:rsidP="0063328B">
            <w:pPr>
              <w:widowControl/>
              <w:tabs>
                <w:tab w:val="left" w:pos="2118"/>
              </w:tabs>
              <w:adjustRightInd w:val="0"/>
              <w:snapToGrid w:val="0"/>
              <w:spacing w:line="320" w:lineRule="exact"/>
              <w:jc w:val="center"/>
              <w:rPr>
                <w:rFonts w:ascii="仿宋" w:eastAsia="仿宋" w:hAnsi="仿宋" w:cs="宋体"/>
                <w:kern w:val="0"/>
                <w:szCs w:val="21"/>
              </w:rPr>
            </w:pPr>
            <w:r>
              <w:rPr>
                <w:rFonts w:ascii="仿宋" w:eastAsia="仿宋" w:hAnsi="仿宋" w:hint="eastAsia"/>
                <w:bCs/>
                <w:szCs w:val="21"/>
              </w:rPr>
              <w:t>尿药速度法测定口服核黄素片的消除速度常数</w:t>
            </w:r>
          </w:p>
        </w:tc>
        <w:tc>
          <w:tcPr>
            <w:tcW w:w="1056" w:type="dxa"/>
            <w:vAlign w:val="center"/>
          </w:tcPr>
          <w:p w:rsidR="00367509" w:rsidRDefault="00367509" w:rsidP="0063328B">
            <w:pPr>
              <w:widowControl/>
              <w:adjustRightInd w:val="0"/>
              <w:snapToGrid w:val="0"/>
              <w:spacing w:line="320" w:lineRule="exact"/>
              <w:jc w:val="center"/>
              <w:rPr>
                <w:rFonts w:ascii="仿宋" w:eastAsia="仿宋" w:hAnsi="仿宋" w:cs="宋体"/>
                <w:kern w:val="0"/>
                <w:szCs w:val="21"/>
              </w:rPr>
            </w:pPr>
            <w:r>
              <w:rPr>
                <w:rFonts w:ascii="仿宋" w:eastAsia="仿宋" w:hAnsi="仿宋" w:cs="宋体" w:hint="eastAsia"/>
                <w:kern w:val="0"/>
                <w:szCs w:val="21"/>
              </w:rPr>
              <w:t>设计性</w:t>
            </w:r>
          </w:p>
        </w:tc>
        <w:tc>
          <w:tcPr>
            <w:tcW w:w="1080" w:type="dxa"/>
            <w:vAlign w:val="center"/>
          </w:tcPr>
          <w:p w:rsidR="00367509" w:rsidRDefault="00367509" w:rsidP="0063328B">
            <w:pPr>
              <w:widowControl/>
              <w:adjustRightInd w:val="0"/>
              <w:snapToGrid w:val="0"/>
              <w:spacing w:line="320" w:lineRule="exact"/>
              <w:jc w:val="center"/>
              <w:rPr>
                <w:rFonts w:ascii="仿宋" w:eastAsia="仿宋" w:hAnsi="仿宋" w:cs="宋体"/>
                <w:kern w:val="0"/>
                <w:szCs w:val="21"/>
              </w:rPr>
            </w:pPr>
            <w:r>
              <w:rPr>
                <w:rFonts w:ascii="仿宋" w:eastAsia="仿宋" w:hAnsi="仿宋" w:cs="宋体" w:hint="eastAsia"/>
                <w:kern w:val="0"/>
                <w:szCs w:val="21"/>
              </w:rPr>
              <w:t>必做</w:t>
            </w:r>
          </w:p>
        </w:tc>
        <w:tc>
          <w:tcPr>
            <w:tcW w:w="1080" w:type="dxa"/>
            <w:vAlign w:val="center"/>
          </w:tcPr>
          <w:p w:rsidR="00367509" w:rsidRDefault="00367509" w:rsidP="0063328B">
            <w:pPr>
              <w:widowControl/>
              <w:adjustRightInd w:val="0"/>
              <w:snapToGrid w:val="0"/>
              <w:spacing w:line="320" w:lineRule="exact"/>
              <w:jc w:val="center"/>
              <w:rPr>
                <w:rFonts w:ascii="仿宋" w:eastAsia="仿宋" w:hAnsi="仿宋" w:cs="宋体"/>
                <w:kern w:val="0"/>
                <w:szCs w:val="21"/>
              </w:rPr>
            </w:pPr>
            <w:r>
              <w:rPr>
                <w:rFonts w:ascii="仿宋" w:eastAsia="仿宋" w:hAnsi="仿宋" w:cs="宋体" w:hint="eastAsia"/>
                <w:kern w:val="0"/>
                <w:szCs w:val="21"/>
              </w:rPr>
              <w:t>16</w:t>
            </w:r>
          </w:p>
        </w:tc>
        <w:tc>
          <w:tcPr>
            <w:tcW w:w="683" w:type="dxa"/>
            <w:vAlign w:val="center"/>
          </w:tcPr>
          <w:p w:rsidR="00367509" w:rsidRDefault="00367509" w:rsidP="0063328B">
            <w:pPr>
              <w:widowControl/>
              <w:adjustRightInd w:val="0"/>
              <w:snapToGrid w:val="0"/>
              <w:spacing w:line="320" w:lineRule="exact"/>
              <w:jc w:val="center"/>
              <w:rPr>
                <w:rFonts w:ascii="仿宋" w:eastAsia="仿宋" w:hAnsi="仿宋" w:cs="宋体"/>
                <w:kern w:val="0"/>
                <w:szCs w:val="21"/>
              </w:rPr>
            </w:pPr>
            <w:r>
              <w:rPr>
                <w:rFonts w:ascii="仿宋" w:eastAsia="仿宋" w:hAnsi="仿宋" w:cs="宋体" w:hint="eastAsia"/>
                <w:kern w:val="0"/>
                <w:szCs w:val="21"/>
              </w:rPr>
              <w:t>2</w:t>
            </w:r>
          </w:p>
        </w:tc>
        <w:tc>
          <w:tcPr>
            <w:tcW w:w="985" w:type="dxa"/>
            <w:vAlign w:val="center"/>
          </w:tcPr>
          <w:p w:rsidR="00367509" w:rsidRDefault="00367509" w:rsidP="0063328B">
            <w:pPr>
              <w:widowControl/>
              <w:adjustRightInd w:val="0"/>
              <w:snapToGrid w:val="0"/>
              <w:spacing w:line="320" w:lineRule="exact"/>
              <w:jc w:val="center"/>
              <w:rPr>
                <w:rFonts w:ascii="仿宋" w:eastAsia="仿宋" w:hAnsi="仿宋" w:cs="宋体"/>
                <w:kern w:val="0"/>
                <w:szCs w:val="21"/>
              </w:rPr>
            </w:pPr>
            <w:r>
              <w:rPr>
                <w:rFonts w:ascii="仿宋" w:eastAsia="仿宋" w:hAnsi="仿宋" w:cs="宋体" w:hint="eastAsia"/>
                <w:kern w:val="0"/>
                <w:szCs w:val="21"/>
              </w:rPr>
              <w:t>200110</w:t>
            </w:r>
          </w:p>
        </w:tc>
      </w:tr>
    </w:tbl>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13．实验教材或指导书或主要参考资料</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(1)丁志英，生物药剂学与药物动力学实验讲义，自编，2009年</w:t>
      </w:r>
    </w:p>
    <w:p w:rsidR="00367509" w:rsidRDefault="00367509" w:rsidP="00367509">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14．考核要求、考核方式及成绩评定标准</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实验态度（5分）；实验设计报告（5分）；实验操作（10分）；实验报告（10分）；实验总分：30分。</w:t>
      </w:r>
    </w:p>
    <w:p w:rsidR="00367509" w:rsidRDefault="00367509" w:rsidP="00367509">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15．执笔人</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丁志英 副教授</w:t>
      </w:r>
    </w:p>
    <w:p w:rsidR="00367509" w:rsidRDefault="00367509" w:rsidP="00367509">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16．制定日期</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20141014</w:t>
      </w:r>
    </w:p>
    <w:p w:rsidR="00367509" w:rsidRDefault="00367509" w:rsidP="00367509">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lastRenderedPageBreak/>
        <w:t>17．审核人</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丁志英 副教授</w:t>
      </w:r>
    </w:p>
    <w:p w:rsidR="00367509" w:rsidRDefault="00367509" w:rsidP="00367509">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18．审核日期</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20141014</w:t>
      </w:r>
    </w:p>
    <w:p w:rsidR="00367509" w:rsidRDefault="00367509" w:rsidP="00367509">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367509" w:rsidRDefault="00367509" w:rsidP="00367509">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20．学院审定日期</w:t>
      </w:r>
    </w:p>
    <w:p w:rsidR="00367509" w:rsidRDefault="00367509" w:rsidP="00367509">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20141020</w:t>
      </w:r>
    </w:p>
    <w:p w:rsidR="00367509" w:rsidRDefault="00367509" w:rsidP="00367509">
      <w:pPr>
        <w:adjustRightInd w:val="0"/>
        <w:snapToGrid w:val="0"/>
        <w:rPr>
          <w:rFonts w:ascii="楷体_GB2312" w:eastAsia="楷体_GB2312" w:hAnsi="华文中宋"/>
          <w:sz w:val="28"/>
          <w:szCs w:val="28"/>
        </w:rPr>
      </w:pPr>
    </w:p>
    <w:p w:rsidR="00367509" w:rsidRDefault="00367509" w:rsidP="00367509">
      <w:pPr>
        <w:adjustRightInd w:val="0"/>
        <w:snapToGrid w:val="0"/>
        <w:rPr>
          <w:rFonts w:ascii="仿宋_GB2312" w:eastAsia="仿宋_GB2312" w:hAnsi="华文中宋"/>
          <w:sz w:val="28"/>
          <w:szCs w:val="28"/>
        </w:rPr>
      </w:pPr>
    </w:p>
    <w:p w:rsidR="00367509" w:rsidRDefault="00367509" w:rsidP="00367509">
      <w:pPr>
        <w:adjustRightInd w:val="0"/>
        <w:snapToGrid w:val="0"/>
        <w:rPr>
          <w:rFonts w:ascii="仿宋_GB2312" w:eastAsia="仿宋_GB2312" w:hAnsi="华文中宋"/>
          <w:sz w:val="28"/>
          <w:szCs w:val="28"/>
        </w:rPr>
      </w:pPr>
    </w:p>
    <w:p w:rsidR="00367509" w:rsidRDefault="00367509" w:rsidP="00367509">
      <w:pPr>
        <w:adjustRightInd w:val="0"/>
        <w:snapToGrid w:val="0"/>
        <w:rPr>
          <w:rFonts w:ascii="仿宋_GB2312" w:eastAsia="仿宋_GB2312" w:hAnsi="华文中宋"/>
          <w:sz w:val="28"/>
          <w:szCs w:val="28"/>
        </w:rPr>
      </w:pPr>
    </w:p>
    <w:p w:rsidR="00367509" w:rsidRDefault="00367509" w:rsidP="00367509">
      <w:pPr>
        <w:adjustRightInd w:val="0"/>
        <w:snapToGrid w:val="0"/>
        <w:rPr>
          <w:rFonts w:ascii="仿宋_GB2312" w:eastAsia="仿宋_GB2312" w:hAnsi="华文中宋"/>
          <w:sz w:val="28"/>
          <w:szCs w:val="28"/>
        </w:rPr>
      </w:pPr>
    </w:p>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 w:rsidR="00367509" w:rsidRDefault="00367509" w:rsidP="00367509">
      <w:pPr>
        <w:pStyle w:val="1"/>
        <w:snapToGrid w:val="0"/>
        <w:spacing w:before="0" w:after="0" w:line="240" w:lineRule="auto"/>
        <w:jc w:val="center"/>
        <w:rPr>
          <w:rFonts w:ascii="宋体" w:hAnsi="宋体"/>
          <w:sz w:val="32"/>
          <w:szCs w:val="32"/>
        </w:rPr>
      </w:pPr>
      <w:r>
        <w:rPr>
          <w:rFonts w:ascii="宋体" w:hAnsi="宋体" w:hint="eastAsia"/>
          <w:color w:val="000000"/>
          <w:spacing w:val="-14"/>
          <w:sz w:val="32"/>
          <w:szCs w:val="32"/>
        </w:rPr>
        <w:lastRenderedPageBreak/>
        <w:t>生物药剂学与药物动力学</w:t>
      </w:r>
      <w:r>
        <w:rPr>
          <w:rFonts w:ascii="宋体" w:hAnsi="宋体" w:hint="eastAsia"/>
          <w:sz w:val="32"/>
          <w:szCs w:val="32"/>
        </w:rPr>
        <w:t>（</w:t>
      </w:r>
      <w:r>
        <w:rPr>
          <w:rFonts w:ascii="宋体" w:hAnsi="宋体" w:hint="eastAsia"/>
          <w:color w:val="000000"/>
          <w:sz w:val="32"/>
          <w:szCs w:val="32"/>
        </w:rPr>
        <w:t>732010</w:t>
      </w:r>
      <w:r>
        <w:rPr>
          <w:rFonts w:ascii="宋体" w:hAnsi="宋体" w:hint="eastAsia"/>
          <w:sz w:val="32"/>
          <w:szCs w:val="32"/>
        </w:rPr>
        <w:t>）实验项目卡1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o</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jc w:val="center"/>
              <w:rPr>
                <w:rFonts w:ascii="仿宋_GB2312" w:eastAsia="仿宋_GB2312" w:hAnsi="宋体" w:cs="宋体"/>
                <w:b/>
                <w:kern w:val="0"/>
                <w:szCs w:val="21"/>
              </w:rPr>
            </w:pPr>
            <w:r>
              <w:rPr>
                <w:rFonts w:ascii="仿宋_GB2312" w:eastAsia="仿宋_GB2312" w:hAnsi="宋体" w:cs="宋体" w:hint="eastAsia"/>
                <w:b/>
                <w:kern w:val="0"/>
                <w:szCs w:val="21"/>
              </w:rPr>
              <w:t>填写内容</w:t>
            </w:r>
          </w:p>
        </w:tc>
      </w:tr>
      <w:tr w:rsidR="00367509"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生物药剂学与药物动力学</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732010</w:t>
            </w:r>
          </w:p>
        </w:tc>
      </w:tr>
      <w:tr w:rsidR="00367509"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尿药速度法求算口服核黄素片的消除速度常数</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73201001</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0</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2</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16</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必做</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掌握尿药速度法测定消除速度常数（重要的动力学参数）方法。</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要求学生选择大鼠为模型动物或自己服药（</w:t>
            </w:r>
            <w:r>
              <w:rPr>
                <w:rFonts w:ascii="楷体" w:eastAsia="楷体" w:hAnsi="楷体" w:cs="宋体"/>
                <w:kern w:val="0"/>
                <w:sz w:val="24"/>
              </w:rPr>
              <w:t>VB2</w:t>
            </w:r>
            <w:r>
              <w:rPr>
                <w:rFonts w:ascii="楷体" w:eastAsia="楷体" w:hAnsi="楷体" w:cs="宋体" w:hint="eastAsia"/>
                <w:kern w:val="0"/>
                <w:sz w:val="24"/>
              </w:rPr>
              <w:t>：对人体无伤害）进行实验设计并自己动手完成实验，获得动力学参数。</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在体内药物大部分以原形从尿中排除条件下，通常可用尿药法求算消除速度常数、生物半衰期等动力学参数。</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1.演示性□；2.验证性□；3.综合性□；4.设计性■；5.研究性□。</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本科生</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代谢笼，紫外分光光度计或高效液相色谱仪，大鼠笼等。</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tcBorders>
            <w:vAlign w:val="center"/>
          </w:tcPr>
          <w:p w:rsidR="00367509" w:rsidRDefault="00367509" w:rsidP="0063328B">
            <w:pPr>
              <w:snapToGrid w:val="0"/>
              <w:ind w:left="-90"/>
              <w:rPr>
                <w:rFonts w:ascii="楷体" w:eastAsia="楷体" w:hAnsi="楷体" w:cs="宋体"/>
                <w:sz w:val="24"/>
              </w:rPr>
            </w:pPr>
            <w:r>
              <w:rPr>
                <w:rFonts w:ascii="楷体" w:eastAsia="楷体" w:hAnsi="楷体" w:cs="宋体" w:hint="eastAsia"/>
                <w:sz w:val="24"/>
              </w:rPr>
              <w:t>15</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2001.10</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药学实验中心</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kern w:val="0"/>
                <w:sz w:val="24"/>
              </w:rPr>
              <w:t>133101</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药物分析室</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药学院408室</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VB</w:t>
            </w:r>
            <w:r>
              <w:rPr>
                <w:rFonts w:ascii="楷体" w:eastAsia="楷体" w:hAnsi="楷体" w:cs="宋体" w:hint="eastAsia"/>
                <w:kern w:val="0"/>
                <w:sz w:val="24"/>
                <w:vertAlign w:val="subscript"/>
              </w:rPr>
              <w:t>2</w:t>
            </w:r>
            <w:r>
              <w:rPr>
                <w:rFonts w:ascii="楷体" w:eastAsia="楷体" w:hAnsi="楷体" w:cs="宋体" w:hint="eastAsia"/>
                <w:kern w:val="0"/>
                <w:sz w:val="24"/>
              </w:rPr>
              <w:t>（1瓶）、一次性手套（110付）、注射器（100只）、冰醋酸（1瓶）、保险粉（1瓶）、大鼠食料（5斤）、垫料（1袋）和大鼠（100只）等。</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tcBorders>
            <w:vAlign w:val="center"/>
          </w:tcPr>
          <w:p w:rsidR="00367509" w:rsidRDefault="00367509" w:rsidP="0063328B">
            <w:pPr>
              <w:snapToGrid w:val="0"/>
              <w:ind w:left="-90"/>
              <w:rPr>
                <w:rFonts w:ascii="楷体" w:eastAsia="楷体" w:hAnsi="楷体" w:cs="宋体"/>
                <w:sz w:val="24"/>
              </w:rPr>
            </w:pPr>
            <w:r>
              <w:rPr>
                <w:rFonts w:ascii="楷体" w:eastAsia="楷体" w:hAnsi="楷体" w:cs="宋体" w:hint="eastAsia"/>
                <w:sz w:val="24"/>
              </w:rPr>
              <w:t>5000元</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药学、临床药学</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实验项目卡制定人</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丁志英</w:t>
            </w:r>
          </w:p>
        </w:tc>
      </w:tr>
      <w:tr w:rsidR="00367509" w:rsidTr="0063328B">
        <w:trPr>
          <w:cantSplit/>
          <w:trHeight w:val="284"/>
        </w:trPr>
        <w:tc>
          <w:tcPr>
            <w:tcW w:w="410" w:type="dxa"/>
            <w:tcBorders>
              <w:top w:val="single" w:sz="4" w:space="0" w:color="auto"/>
              <w:bottom w:val="single" w:sz="4" w:space="0" w:color="auto"/>
              <w:right w:val="single" w:sz="4" w:space="0" w:color="auto"/>
            </w:tcBorders>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367509" w:rsidRDefault="0036750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tcBorders>
            <w:vAlign w:val="center"/>
          </w:tcPr>
          <w:p w:rsidR="00367509" w:rsidRDefault="00367509"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丁志英</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7509"/>
    <w:rsid w:val="00367509"/>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9"/>
    <w:pPr>
      <w:widowControl w:val="0"/>
      <w:jc w:val="both"/>
    </w:pPr>
    <w:rPr>
      <w:rFonts w:ascii="Times New Roman" w:eastAsia="宋体" w:hAnsi="Times New Roman" w:cs="Times New Roman"/>
      <w:szCs w:val="24"/>
    </w:rPr>
  </w:style>
  <w:style w:type="paragraph" w:styleId="1">
    <w:name w:val="heading 1"/>
    <w:basedOn w:val="a"/>
    <w:next w:val="a"/>
    <w:link w:val="1Char"/>
    <w:qFormat/>
    <w:rsid w:val="0036750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67509"/>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2016-02-01T03:05:00Z</dcterms:created>
  <dcterms:modified xsi:type="dcterms:W3CDTF">2016-02-01T03:05:00Z</dcterms:modified>
</cp:coreProperties>
</file>